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12e BGG — Menschen mit Behinderungen in Begleitung durch Assistenzhunde</w:t>
      </w:r>
    </w:p>
    <w:p>
      <w:r>
        <w:rPr>
          <w:color w:val="555555"/>
          <w:sz w:val="18"/>
        </w:rPr>
        <w:t xml:space="preserve">Behindertengleichstellungsgesetz</w:t>
      </w:r>
    </w:p>
    <w:p>
      <w:r>
        <w:rPr>
          <w:color w:val="555555"/>
          <w:sz w:val="18"/>
        </w:rPr>
        <w:t xml:space="preserve">Stand: 01.06.2022 (konsolidierte Textfassung, kein amtliches Inkrafttretensdatum)</w:t>
      </w:r>
    </w:p>
    <w:p>
      <w:r>
        <w:t xml:space="preserve">(1) Träger öffentlicher Gewalt sowie Eigentümer, Besitzer und Betreiber von beweglichen oder unbeweglichen Anlagen und Einrichtungen dürfen Menschen mit Behinderungen in Begleitung durch ihren Assistenzhund den Zutritt zu ihren typischerweise für den allgemeinen Publikums- und Benutzungsverkehr zugänglichen Anlagen und Einrichtungen nicht wegen der Begleitung durch ihren Assistenzhund verweigern, soweit nicht der Zutritt mit Assistenzhund eine unverhältnismäßige oder unbillige Belastung darstellen würde. Weitergehende Rechte von Menschen mit Behinderungen bleiben unberührt.</w:t>
      </w:r>
    </w:p>
    <w:p>
      <w:r>
        <w:t xml:space="preserve">(2) Eine nach Absatz 1 unberechtigte Verweigerung durch Träger öffentlicher Gewalt gilt als Benachteiligung im Sinne von § 7 Absatz 1.</w:t>
      </w:r>
    </w:p>
    <w:p>
      <w:r>
        <w:t xml:space="preserve">(3) Ein Assistenzhund ist ein unter Beachtung des Tierschutzes und des individuellen Bedarfs eines Menschen mit Behinderungen speziell ausgebildeter Hund, der aufgrund seiner Fähigkeiten und erlernten Assistenzleistungen dazu bestimmt ist, diesem Menschen die selbstbestimmte Teilhabe am gesellschaftlichen Leben zu ermöglichen, zu erleichtern oder behinderungsbedingte Nachteile auszugleichen. Dies ist der Fall, wenn der Assistenzhund</w:t>
      </w:r>
    </w:p>
    <w:p>
      <w:pPr>
        <w:ind w:left="420"/>
      </w:pPr>
      <w:r>
        <w:t xml:space="preserve">1. zusammen mit einem Menschen mit Behinderungen als Mensch-Assistenzhund-Gemeinschaft im Sinne des § 12g zertifiziert ist oder</w:t>
      </w:r>
    </w:p>
    <w:p>
      <w:pPr>
        <w:ind w:left="420"/>
      </w:pPr>
      <w:r>
        <w:t xml:space="preserve">2. von einem Träger der gesetzlichen Sozialversicherung, einem Träger nach § 6 des Neunten Buches Sozialgesetzbuch, einem Beihilfeträger, einem Träger der Heilfürsorge oder einem privaten Versicherungsunternehmen als Hilfsmittel zur Teilhabe oder zum Behinderungsausgleich anerkannt ist oder</w:t>
      </w:r>
    </w:p>
    <w:p>
      <w:pPr>
        <w:ind w:left="420"/>
      </w:pPr>
      <w:r>
        <w:t xml:space="preserve">3. im Ausland als Assistenzhund anerkannt ist und dessen Ausbildung den Anforderungen des § 12f Satz 2 entspricht oder</w:t>
      </w:r>
    </w:p>
    <w:p>
      <w:pPr>
        <w:ind w:left="420"/>
      </w:pPr>
      <w:r>
        <w:t xml:space="preserve">4. zusammen mit einem Menschen mit Behinderungen als Mensch-Assistenzhund-Gemeinschaft vor dem 1. Juli 2023</w:t>
      </w:r>
    </w:p>
    <w:p>
      <w:pPr>
        <w:ind w:left="780"/>
      </w:pPr>
      <w:r>
        <w:t xml:space="preserve">a) in einer den Anforderungen des § 12f Satz 2 entsprechenden Weise ausgebildet und entsprechend § 12g Satz 2 erfolgreich geprüft wurde oder</w:t>
      </w:r>
    </w:p>
    <w:p>
      <w:pPr>
        <w:ind w:left="780"/>
      </w:pPr>
      <w:r>
        <w:t xml:space="preserve">b) sich in einer den Anforderungen des § 12f Satz 2 entsprechenden Ausbildung befunden hat und innerhalb von zwölf Monaten nach dem 1. Juli 2023 diese Ausbildung beendet und mit einer § 12g Satz 2 entsprechenden Prüfung erfolgreich abgeschlossen hat.</w:t>
      </w:r>
    </w:p>
    <w:p>
      <w:r>
        <w:t xml:space="preserve">(4) Ein Assistenzhund ist als solcher zu kennzeichnen.</w:t>
      </w:r>
    </w:p>
    <w:p>
      <w:r>
        <w:t xml:space="preserve">(5) Für den Assistenzhund ist eine Haftpflichtversicherung zur Deckung der durch ihn verursachten Personenschäden, Sachschäden und sonstigen Vermögensschäden abzuschließen und aufrechtzuerhalten.</w:t>
      </w:r>
    </w:p>
    <w:p>
      <w:r>
        <w:t xml:space="preserve">(6) Für Blindenführhunde und andere Assistenzhunde, die als Hilfsmittel im Sinne des § 33 des Fünften Buches Sozialgesetzbuch gewährt werden, finden die §§ 12f bis 12k und die Vorgaben einer Rechtsverordnung nach § 12l Nummer 1, 2 und 4 bis 6 dieses Gesetzes keine Anwendung.</w:t>
      </w:r>
    </w:p>
    <w:p>
      <w:r>
        <w:rPr>
          <w:color w:val="555555"/>
          <w:sz w:val="17"/>
        </w:rPr>
        <w:t xml:space="preserve">Zitiervorschlag: § 12e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https://recht.nulegal.eu/gesetze/BGG/12e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