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12d BGG — Verordnungsermächtigung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wird ermächtigt durch Rechtsverordnung, die nicht der Zustimmung des Bundesrates bedarf, Bestimmungen zu erlassen über</w:t>
      </w:r>
    </w:p>
    <w:p>
      <w:pPr>
        <w:ind w:left="420"/>
      </w:pPr>
      <w:r>
        <w:t xml:space="preserve">1. diejenigen Websites und mobilen Anwendungen sowie Inhalte von Websites und mobilen Anwendungen, auf die sich der Geltungsbereich der Verordnung bezieht,</w:t>
      </w:r>
    </w:p>
    <w:p>
      <w:pPr>
        <w:ind w:left="420"/>
      </w:pPr>
      <w:r>
        <w:t xml:space="preserve">2. die technischen Standards, die öffentliche Stellen des Bundes bei der barrierefreien Gestaltung anzuwenden haben, und den Zeitpunkt, ab dem diese Standards anzuwenden sind,</w:t>
      </w:r>
    </w:p>
    <w:p>
      <w:pPr>
        <w:ind w:left="420"/>
      </w:pPr>
      <w:r>
        <w:t xml:space="preserve">3. die Bereiche und Arten amtlicher Informationen, die barrierefrei zu gestalten sind,</w:t>
      </w:r>
    </w:p>
    <w:p>
      <w:pPr>
        <w:ind w:left="420"/>
      </w:pPr>
      <w:r>
        <w:t xml:space="preserve">4. die konkreten Anforderungen der Erklärung zur Barrierefreiheit,</w:t>
      </w:r>
    </w:p>
    <w:p>
      <w:pPr>
        <w:ind w:left="420"/>
      </w:pPr>
      <w:r>
        <w:t xml:space="preserve">5. die konkreten Anforderungen der Berichterstattung über den Stand der Barrierefreiheit und</w:t>
      </w:r>
    </w:p>
    <w:p>
      <w:pPr>
        <w:ind w:left="420"/>
      </w:pPr>
      <w:r>
        <w:t xml:space="preserve">6. die Einzelheiten des Überwachungsverfahrens nach § 13 Absatz 3 Satz 2 Nummer 1.</w:t>
      </w:r>
    </w:p>
    <w:p>
      <w:r>
        <w:rPr>
          <w:color w:val="555555"/>
          <w:sz w:val="17"/>
        </w:rPr>
        <w:t xml:space="preserve">Zitiervorschlag: § 12d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