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12c BGG — Berichterstattung über den Stand der Barrierefreiheit</w:t>
      </w:r>
    </w:p>
    <w:p>
      <w:r>
        <w:rPr>
          <w:color w:val="555555"/>
          <w:sz w:val="18"/>
        </w:rPr>
        <w:t xml:space="preserve">Behindertengleichstellungsgesetz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obersten Bundesbehörden erstatten alle drei Jahre, erstmals zum 30. Juni 2021, der Überwachungsstelle des Bundes für Barrierefreiheit von Informationstechnik (§ 13 Absatz 3) Bericht über den Stand der Barrierefreiheit</w:t>
      </w:r>
    </w:p>
    <w:p>
      <w:pPr>
        <w:ind w:left="420"/>
      </w:pPr>
      <w:r>
        <w:t xml:space="preserve">1. der Websites und mobilen Anwendungen, einschließlich der Intranetangebote, der obersten Bundesbehörden,</w:t>
      </w:r>
    </w:p>
    <w:p>
      <w:pPr>
        <w:ind w:left="420"/>
      </w:pPr>
      <w:r>
        <w:t xml:space="preserve">2. der elektronisch unterstützten Verwaltungsabläufe.</w:t>
      </w:r>
    </w:p>
    <w:p>
      <w:r>
        <w:t xml:space="preserve">Sie erstellen verbindliche und überprüfbare Maßnahmen- und Zeitpläne zum weiteren Abbau von Barrieren ihrer Informationstechnik.</w:t>
      </w:r>
    </w:p>
    <w:p>
      <w:r>
        <w:t xml:space="preserve">(2) Die Länder erstatten alle drei Jahre, erstmals zum 30. Juni 2021, der Überwachungsstelle des Bundes für Barrierefreiheit von Informationstechnik (§ 13 Absatz 3) Bericht über den Stand der Barrierefreiheit</w:t>
      </w:r>
    </w:p>
    <w:p>
      <w:pPr>
        <w:ind w:left="420"/>
      </w:pPr>
      <w:r>
        <w:t xml:space="preserve">1. der Websites der öffentlichen Stellen der Länder und</w:t>
      </w:r>
    </w:p>
    <w:p>
      <w:pPr>
        <w:ind w:left="420"/>
      </w:pPr>
      <w:r>
        <w:t xml:space="preserve">2. der mobilen Anwendungen der öffentlichen Stellen der Länder.</w:t>
      </w:r>
    </w:p>
    <w:p>
      <w:r>
        <w:t xml:space="preserve">Zu berichten ist insbesondere über die Ergebnisse ihrer Überwachung nach Artikel 8 Absatz 1 bis 3 der Richtlinie (EU) 2016/2102. Art und Form des Berichts richten sich nach den Anforderungen, die auf der Grundlage des Artikels 8 Absatz 6 der Richtlinie (EU) 2016/2102 festgelegt werden.</w:t>
      </w:r>
    </w:p>
    <w:p>
      <w:r>
        <w:rPr>
          <w:color w:val="555555"/>
          <w:sz w:val="17"/>
        </w:rPr>
        <w:t xml:space="preserve">Zitiervorschlag: § 12c 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https://recht.nulegal.eu/gesetze/BGG/12c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