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BGG — Barrierefreie Informationstechnik</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(1) Öffentliche Stellen des Bundes gestalten ihre Websites und mobilen Anwendungen, einschließlich der für die Beschäftigten bestimmten Angebote im Intranet, barrierefrei. Schrittweise, spätestens bis zum 23. Juni 2021, gestalten sie ihre elektronisch unterstützten Verwaltungsabläufe, einschließlich ihrer Verfahren zur elektronischen Vorgangsbearbeitung und elektronischen Aktenführung, barrierefrei. Die grafischen Programmoberflächen sind von der barrierefreien Gestaltung umfasst.</w:t>
      </w:r>
    </w:p>
    <w:p>
      <w:r>
        <w:t xml:space="preserve">(2) Die barrierefreie Gestaltung erfolgt nach Maßgabe der aufgrund des § 12d zu erlassenden Verordnung. Soweit diese Verordnung keine Vorgaben enthält, erfolgt die barrierefreie Gestaltung nach den anerkannten Regeln der Technik.</w:t>
      </w:r>
    </w:p>
    <w:p>
      <w:r>
        <w:t xml:space="preserve">(3) Insbesondere bei Neuanschaffungen, Erweiterungen und Überarbeitungen ist die barrierefreie Gestaltung bereits bei der Planung, Entwicklung, Ausschreibung und Beschaffung zu berücksichtigen.</w:t>
      </w:r>
    </w:p>
    <w:p>
      <w:r>
        <w:t xml:space="preserve">(4) Unberührt bleiben die Regelungen zur behinderungsgerechten Einrichtung und Unterhaltung der Arbeitsstätten zugunsten von Menschen mit Behinderungen in anderen Rechtsvorschriften, insbesondere im Neunten Buch Sozialgesetzbuch.</w:t>
      </w:r>
    </w:p>
    <w:p>
      <w:r>
        <w:t xml:space="preserve">(5) Die Pflichten aus Abschnitt 2a gelten nicht für Websites und mobile Anwendungen jener öffentlichen Stellen des Bundes nach § 12 Satz 1 Nummer 2 und 3, die keine für die Öffentlichkeit wesentlichen Dienstleistungen oder speziell auf die Bedürfnisse von Menschen mit Behinderungen ausgerichtete oder für diese konzipierte Dienstleistungen anbieten.</w:t>
      </w:r>
    </w:p>
    <w:p>
      <w:r>
        <w:t xml:space="preserve">(6) Von der barrierefreien Gestaltung können öffentliche Stellen des Bundes ausnahmsweise absehen, soweit sie durch eine barrierefreie Gestaltung unverhältnismäßig belastet würden.</w:t>
      </w:r>
    </w:p>
    <w:p>
      <w:r>
        <w:t xml:space="preserve">(7) Der Bund wirkt darauf hin, dass gewerbsmäßige Anbieter von Websites sowie von grafischen Programmoberflächen und mobilen Anwendungen, die mit Mitteln der Informationstechnik dargestellt werden, aufgrund von Zielvereinbarungen nach § 5 Absatz 2 ihre Produkte so gestalten, dass sie barrierefrei genutzt werden können.</w:t>
      </w:r>
    </w:p>
    <w:p>
      <w:r>
        <w:t xml:space="preserve">(8) Angebote öffentlicher Stellen im Internet, die auf Websites Dritter veröffentlicht werden, sind soweit möglich barrierefrei zu gestalten.</w:t>
      </w:r>
    </w:p>
    <w:p>
      <w:r>
        <w:rPr>
          <w:color w:val="555555"/>
          <w:sz w:val="17"/>
        </w:rPr>
        <w:t xml:space="preserve">Zitiervorschlag: § 12a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