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BGG — Ziel und Verantwortung der Träger öffentlicher Gewalt</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Ziel dieses Gesetzes ist es, die Benachteiligung von Menschen mit Behinderungen zu beseitigen und zu verhindern sowie ihre gleichberechtigte Teilhabe am Leben in der Gesellschaft zu gewährleisten und ihnen eine selbstbestimmte Lebensführung zu ermöglichen. Dabei wird ihren besonderen Bedürfnissen Rechnung getragen.</w:t>
      </w:r>
    </w:p>
    <w:p>
      <w:r>
        <w:t xml:space="preserve">(1a) Träger öffentlicher Gewalt im Sinne dieses Gesetzes sind</w:t>
      </w:r>
    </w:p>
    <w:p>
      <w:pPr>
        <w:ind w:left="420"/>
      </w:pPr>
      <w:r>
        <w:t xml:space="preserve">1. Dienststellen und sonstige Einrichtungen der Bundesverwaltung einschließlich der bundesunmittelbaren Körperschaften, bundesunmittelbaren Anstalten und bundesunmittelbaren Stiftungen des öffentlichen Rechts,</w:t>
      </w:r>
    </w:p>
    <w:p>
      <w:pPr>
        <w:ind w:left="420"/>
      </w:pPr>
      <w:r>
        <w:t xml:space="preserve">2. Beliehene, die unter der Aufsicht des Bundes stehen, soweit sie öffentlich-rechtliche Verwaltungsaufgaben wahrnehmen, und</w:t>
      </w:r>
    </w:p>
    <w:p>
      <w:pPr>
        <w:ind w:left="420"/>
      </w:pPr>
      <w:r>
        <w:t xml:space="preserve">3. sonstige Bundesorgane, soweit sie öffentlich-rechtliche Verwaltungsaufgaben wahrnehmen.</w:t>
      </w:r>
    </w:p>
    <w:p>
      <w:r>
        <w:t xml:space="preserve">(2) Die Träger der öffentlichen Gewalt sollen im Rahmen ihres jeweiligen Aufgabenbereichs die in Absatz 1 genannten Ziele aktiv fördern und bei der Planung von Maßnahmen beachten. Das Gleiche gilt für Landesverwaltungen, einschließlich der landesunmittelbaren Körperschaften, Anstalten und Stiftungen des öffentlichen Rechts, soweit sie Bundesrecht ausführen.</w:t>
      </w:r>
    </w:p>
    <w:p>
      <w:r>
        <w:t xml:space="preserve">(3) Die Träger öffentlicher Gewalt sollen darauf hinwirken, dass Einrichtungen, Vereinigungen und juristische Personen des Privatrechts, an denen die Träger öffentlicher Gewalt unmittelbar oder mittelbar ganz oder überwiegend beteiligt sind, die Ziele dieses Gesetzes in angemessener Weise berücksichtigen. Gewähren Träger öffentlicher Gewalt Zuwendungen nach § 23 der Bundeshaushaltsordnung als institutionelle Förderungen, so sollen sie durch Nebenbestimmung zum Zuwendungsbescheid oder vertragliche Vereinbarung sicherstellen, dass die institutionellen Zuwendungsempfängerinnen und -empfänger die Grundzüge dieses Gesetzes anwenden. Aus der Nebenbestimmung zum Zuwendungsbescheid oder der vertraglichen Vereinbarung muss hervorgehen, welche Vorschriften anzuwenden sind. Die Sätze 2 und 3 gelten auch für den Fall, dass Stellen außerhalb der Bundesverwaltung mit Bundesmitteln im Wege der Zuweisung institutionell gefördert werden. Weitergehende Vorschriften bleiben von den Sätzen 1 bis 4 unberührt.</w:t>
      </w:r>
    </w:p>
    <w:p>
      <w:r>
        <w:t xml:space="preserve">(4) Die Auslandsvertretungen des Bundes berücksichtigen die Ziele dieses Gesetzes im Rahmen der Wahrnehmung ihrer Aufgaben.</w:t>
      </w:r>
    </w:p>
    <w:p>
      <w:r>
        <w:rPr>
          <w:color w:val="555555"/>
          <w:sz w:val="17"/>
        </w:rPr>
        <w:t xml:space="preserve">Zitiervorschlag: § 1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