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BGG NRW (Nordrhein-Westfalen)</w:t>
      </w:r>
    </w:p>
    <w:p>
      <w:r>
        <w:rPr>
          <w:color w:val="555555"/>
          <w:sz w:val="18"/>
        </w:rPr>
        <w:t xml:space="preserve">Behindertengleichstellungsgesetz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2003</w:t>
      </w:r>
    </w:p>
    <w:p>
      <w:r>
        <w:t xml:space="preserve">(Artikel 1 des Gesetzes zur Gleichstellung von Menschen mit Behinderung und zur Änderung anderer Gesetze)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Allgemeine Bestimmungen</w:t>
      </w:r>
    </w:p>
    <w:p>
      <w:r>
        <w:t xml:space="preserve">§ 1 Ziel des Gesetzes/Geltungsbereich</w:t>
      </w:r>
    </w:p>
    <w:p>
      <w:r>
        <w:t xml:space="preserve">§ 2 Verbot jeder Diskriminierung</w:t>
      </w:r>
    </w:p>
    <w:p>
      <w:r>
        <w:t xml:space="preserve">§ 3 Angemessene Vorkehrungen</w:t>
      </w:r>
    </w:p>
    <w:p>
      <w:r>
        <w:t xml:space="preserve">§ 4 Barrierefreiheit, Agentur Barrierefrei NRW</w:t>
      </w:r>
    </w:p>
    <w:p>
      <w:r>
        <w:t xml:space="preserve">§ 5 Zielvereinbarungen</w:t>
      </w:r>
    </w:p>
    <w:p>
      <w:r>
        <w:t xml:space="preserve">§ 6 Verbandsklage</w:t>
      </w:r>
    </w:p>
    <w:p>
      <w:r>
        <w:t xml:space="preserve">Abschnitt 2</w:t>
      </w:r>
    </w:p>
    <w:p>
      <w:r>
        <w:t xml:space="preserve">Verpflichtung zur Gleichstellung und Barrierefreiheit</w:t>
      </w:r>
    </w:p>
    <w:p>
      <w:r>
        <w:t xml:space="preserve">§ 7 Barrierefreiheit in den Bereichen Anlagen und Verkehr</w:t>
      </w:r>
    </w:p>
    <w:p>
      <w:r>
        <w:t xml:space="preserve">§ 8 Barrierefreie Kommunikation, Gebärdensprache</w:t>
      </w:r>
    </w:p>
    <w:p>
      <w:r>
        <w:t xml:space="preserve">§ 9 Gestaltung von Bescheiden, amtlichen Informationen und Vordrucken</w:t>
      </w:r>
    </w:p>
    <w:p>
      <w:r>
        <w:t xml:space="preserve">§ 10 Barrierefreie Informationstechnik</w:t>
      </w:r>
    </w:p>
    <w:p>
      <w:r>
        <w:t xml:space="preserve">§ 10a Öffentliche Stellen des Landes</w:t>
      </w:r>
    </w:p>
    <w:p>
      <w:r>
        <w:t xml:space="preserve">§ 10b Erklärung zur Barrierefreiheit und elektronisches Kontaktformular</w:t>
      </w:r>
    </w:p>
    <w:p>
      <w:r>
        <w:t xml:space="preserve">§ 10c Überwachung der Barrierefreiheit und Berichterstattung</w:t>
      </w:r>
    </w:p>
    <w:p>
      <w:r>
        <w:t xml:space="preserve">§ 10d Ombudsverfahren</w:t>
      </w:r>
    </w:p>
    <w:p>
      <w:r>
        <w:t xml:space="preserve">§ 10e Verordnungsermächtigung</w:t>
      </w:r>
    </w:p>
    <w:p>
      <w:r>
        <w:t xml:space="preserve">Abschnitt 3</w:t>
      </w:r>
    </w:p>
    <w:p>
      <w:r>
        <w:t xml:space="preserve">Wahrung der Belange von Menschen mit Behinderung</w:t>
      </w:r>
    </w:p>
    <w:p>
      <w:r>
        <w:t xml:space="preserve">§ 11 Aufgabenübertragung, Rechtsstellung</w:t>
      </w:r>
    </w:p>
    <w:p>
      <w:r>
        <w:t xml:space="preserve">§ 12 Aufgaben</w:t>
      </w:r>
    </w:p>
    <w:p>
      <w:r>
        <w:t xml:space="preserve">§ 13 Wahrung der Belange von Menschen mit Behinderung auf örtlicher Ebene</w:t>
      </w:r>
    </w:p>
    <w:p>
      <w:r>
        <w:t xml:space="preserve">Abschnitt 4</w:t>
      </w:r>
    </w:p>
    <w:p>
      <w:r>
        <w:t xml:space="preserve">Berichtspflichten</w:t>
      </w:r>
    </w:p>
    <w:p>
      <w:r>
        <w:t xml:space="preserve">§ 14 Berichte</w:t>
      </w:r>
    </w:p>
    <w:p>
      <w:r>
        <w:t xml:space="preserve">Abschnitt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BGG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BGG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