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BGG NRW (Nordrhein-Westfalen) — Gestaltung von Bescheiden, amtlichen Informationen und Vordrucken</w:t>
      </w:r>
    </w:p>
    <w:p>
      <w:r>
        <w:rPr>
          <w:color w:val="555555"/>
          <w:sz w:val="18"/>
        </w:rPr>
        <w:t xml:space="preserve">Behindertengleichstellungsgesetz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Träger öffentlicher Belange haben bei der Gestaltung von schriftlichen Bescheiden, Allgemeinverfügungen, öffentlich-rechtlichen Verträgen, Vordrucken und amtlichen Informationen die besonderen Belange betroffener Menschen mit Behinderungen zu berücksichtigen.</w:t>
      </w:r>
    </w:p>
    <w:p>
      <w:r>
        <w:t xml:space="preserve">(2) Die Träger öffentlicher Belange sollen im Rahmen ihrer personellen und organisatorischen Möglichkeiten Schwierigkeiten mit dem Textverständnis durch beigefügte Erläuterungen in leicht verständlicher Sprache entgegen wirken. Die Landesregierung wirkt darauf hin, dass das Instrument der Leichten Sprache vermehrt eingesetzt und angewandt wird und entsprechende Kompetenzen für das Verfassen von Texten in Leichter Sprache auf- und ausgebaut werden.</w:t>
      </w:r>
    </w:p>
    <w:p>
      <w:r>
        <w:t xml:space="preserve">(3) Blinde und sehbehinderte Menschen können insbesondere verlangen, dass ihnen Bescheide, Vordrucke und amtliche Informationen unentgeltlich auch in einer für sie wahrnehmbaren Form zugänglich gemacht werden, um eigene Rechte oder Aufgaben im Rahmen der elterlichen Sorge nach §1626 des Bürgerlichen Gesetzbuches im Verwaltungsverfahren wahrzunehmen. § 9 des Inklusionsgrundsätzegesetzes ist zu beachten.</w:t>
      </w:r>
    </w:p>
    <w:p>
      <w:r>
        <w:t xml:space="preserve">(4) Das für den Bereich der Politik für und mit Menschen mit Behinderungen federführend zuständige Ministerium wird ermächtigt, durch Rechtsverordnung im Einvernehmen mit den übrigen Ministerien zu regeln, in welcher Weise und bei welchen Anlässen die in Absatz 3 genannten Dokumente blinden und sehbehinderten Menschen zugänglich gemacht werden.</w:t>
      </w:r>
    </w:p>
    <w:p>
      <w:r>
        <w:rPr>
          <w:color w:val="555555"/>
          <w:sz w:val="17"/>
        </w:rPr>
        <w:t xml:space="preserve">Zitiervorschlag: § 9 BGG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https://recht.nulegal.eu/gesetze/BGG%20NRW/9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