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BGBEG — Gewillkürte Stellvertretung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(1) Auf die gewillkürte Stellvertretung ist das vom Vollmachtgeber vor der Ausübung der Vollmacht gewählte Recht anzuwenden, wenn die Rechtswahl dem Dritten und dem Bevollmächtigten bekannt ist. Der Vollmachtgeber, der Bevollmächtigte und der Dritte können das anzuwendende Recht jederzeit wählen. Die Wahl nach Satz 2 geht derjenigen nach Satz 1 vor.</w:t>
      </w:r>
    </w:p>
    <w:p>
      <w:r>
        <w:t xml:space="preserve">(2) Ist keine Rechtswahl nach Absatz 1 getroffen worden und handelt der Bevollmächtigte in Ausübung seiner unternehmerischen Tätigkeit, so sind die Sachvorschriften des Staates anzuwenden, in dem der Bevollmächtigte im Zeitpunkt der Ausübung der Vollmacht seinen gewöhnlichen Aufenthalt hat, es sei denn, dieser Ort ist für den Dritten nicht erkennbar.</w:t>
      </w:r>
    </w:p>
    <w:p>
      <w:r>
        <w:t xml:space="preserve">(3) Ist keine Rechtswahl nach Absatz 1 getroffen worden und handelt der Bevollmächtigte als Arbeitnehmer des Vollmachtgebers, so sind die Sachvorschriften des Staates anzuwenden, in dem der Vollmachtgeber im Zeitpunkt der Ausübung der Vollmacht seinen gewöhnlichen Aufenthalt hat, es sei denn, dieser Ort ist für den Dritten nicht erkennbar.</w:t>
      </w:r>
    </w:p>
    <w:p>
      <w:r>
        <w:t xml:space="preserve">(4) Ist keine Rechtswahl nach Absatz 1 getroffen worden und handelt der Bevollmächtigte weder in Ausübung seiner unternehmerischen Tätigkeit noch als Arbeitnehmer des Vollmachtgebers, so sind im Falle einer auf Dauer angelegten Vollmacht die Sachvorschriften des Staates anzuwenden, in dem der Bevollmächtigte von der Vollmacht gewöhnlich Gebrauch macht, es sei denn, dieser Ort ist für den Dritten nicht erkennbar.</w:t>
      </w:r>
    </w:p>
    <w:p>
      <w:r>
        <w:t xml:space="preserve">(5) Ergibt sich das anzuwendende Recht nicht aus den Absätzen 1 bis 4, so sind die Sachvorschriften des Staates anzuwenden, in dem der Bevollmächtigte von seiner Vollmacht im Einzelfall Gebrauch macht (Gebrauchsort). Mussten der Dritte und der Bevollmächtigte wissen, dass von der Vollmacht nur in einem bestimmten Staat Gebrauch gemacht werden sollte, so sind die Sachvorschriften dieses Staates anzuwenden. Ist der Gebrauchsort für den Dritten nicht erkennbar, so sind die Sachvorschriften des Staates anzuwenden, in dem der Vollmachtgeber im Zeitpunkt der Ausübung der Vollmacht seinen gewöhnlichen Aufenthalt hat.</w:t>
      </w:r>
    </w:p>
    <w:p>
      <w:r>
        <w:t xml:space="preserve">(6) Auf die gewillkürte Stellvertretung bei Verfügungen über Grundstücke oder Rechte an Grundstücken ist das nach Artikel 43 Absatz 1 und Artikel 46 zu bestimmende Recht anzuwenden.</w:t>
      </w:r>
    </w:p>
    <w:p>
      <w:r>
        <w:t xml:space="preserve">(7) Dieser Artikel findet keine Anwendung auf die gewillkürte Stellvertretung bei Börsengeschäften und Versteigerungen.</w:t>
      </w:r>
    </w:p>
    <w:p>
      <w:r>
        <w:t xml:space="preserve">(8) Auf die Bestimmung des gewöhnlichen Aufenthalts im Sinne dieses Artikels ist Artikel 19 Absatz 1 und 2 erste Alternative der Verordnung (EG) Nr. 593/2008 mit der Maßgabe anzuwenden, dass an die Stelle des Vertragsschlusses die Ausübung der Vollmacht tritt. Artikel 19 Absatz 2 erste Alternative der Verordnung (EG) Nr. 593/2008 ist nicht anzuwenden, wenn der nach dieser Vorschrift maßgebende Ort für den Dritten nicht erkennbar ist.</w:t>
      </w:r>
    </w:p>
    <w:p>
      <w:r>
        <w:rPr>
          <w:color w:val="555555"/>
          <w:sz w:val="17"/>
        </w:rPr>
        <w:t xml:space="preserve">Zitiervorschlag: Art 8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