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7a BGBEG — Geschlechtszugehörigkeit</w:t>
      </w:r>
    </w:p>
    <w:p>
      <w:r>
        <w:rPr>
          <w:color w:val="555555"/>
          <w:sz w:val="18"/>
        </w:rPr>
        <w:t xml:space="preserve">Einführungsgesetz zum Bürgerlichen Gesetzbuche</w:t>
      </w:r>
    </w:p>
    <w:p>
      <w:r>
        <w:rPr>
          <w:color w:val="555555"/>
          <w:sz w:val="18"/>
        </w:rPr>
        <w:t xml:space="preserve">Stand: 01.11.2024 (konsolidierte Textfassung, kein amtliches Inkrafttretensdatum)</w:t>
      </w:r>
    </w:p>
    <w:p>
      <w:r>
        <w:t xml:space="preserve">(1) Die Geschlechtszugehörigkeit einer Person unterliegt dem Recht des Staates, dem die Person angehört.</w:t>
      </w:r>
    </w:p>
    <w:p>
      <w:r>
        <w:t xml:space="preserve">(2) Eine Person mit gewöhnlichem Aufenthalt im Inland kann für die Änderung der Geschlechtszugehörigkeit deutsches Recht wählen. Gleiches gilt für einen Namenswechsel unter den Voraussetzungen oder im Zusammenhang mit der Änderung der Geschlechtszugehörigkeit.</w:t>
      </w:r>
    </w:p>
    <w:p>
      <w:r>
        <w:t xml:space="preserve">(3) Erklärungen zur Wahl nach Absatz 2 müssen öffentlich beglaubigt werden; sie können auch von den Standesbeamten beglaubigt oder beurkundet werden.</w:t>
      </w:r>
    </w:p>
    <w:p>
      <w:r>
        <w:rPr>
          <w:color w:val="555555"/>
          <w:sz w:val="17"/>
        </w:rPr>
        <w:t xml:space="preserve">Zitiervorschlag: Art 7a BGBEG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https://recht.nulegal.eu/gesetze/BGBEG/7a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