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47 BGBEG — Vor- und Familiennamen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eine Person nach einem anwendbaren ausländischen Recht einen Namen erworben und richtet sich ihr Name fortan nach deutschem Recht, so kann sie durch Erklärung gegenüber dem Standesamt</w:t>
      </w:r>
    </w:p>
    <w:p>
      <w:pPr>
        <w:ind w:left="420"/>
      </w:pPr>
      <w:r>
        <w:t xml:space="preserve">1. aus dem Namen Vor- und Familiennamen bestimmen,</w:t>
      </w:r>
    </w:p>
    <w:p>
      <w:pPr>
        <w:ind w:left="420"/>
      </w:pPr>
      <w:r>
        <w:t xml:space="preserve">2. bei Fehlen von Vor- oder Familiennamen einen solchen Namen wählen,</w:t>
      </w:r>
    </w:p>
    <w:p>
      <w:pPr>
        <w:ind w:left="420"/>
      </w:pPr>
      <w:r>
        <w:t xml:space="preserve">3. Bestandteile des Namens ablegen, die das deutsche Recht nicht vorsieht,</w:t>
      </w:r>
    </w:p>
    <w:p>
      <w:pPr>
        <w:ind w:left="420"/>
      </w:pPr>
      <w:r>
        <w:t xml:space="preserve">4. die ursprüngliche Form eines nach dem Geschlecht oder dem Verwandtschaftsverhältnis abgewandelten Namens annehmen,</w:t>
      </w:r>
    </w:p>
    <w:p>
      <w:pPr>
        <w:ind w:left="420"/>
      </w:pPr>
      <w:r>
        <w:t xml:space="preserve">5. eine deutschsprachige Form ihres Vor- oder ihres Familiennamens annehmen; gibt es eine solche Form des Vornamens nicht, so kann sie neue Vornamen annehmen.</w:t>
      </w:r>
    </w:p>
    <w:p>
      <w:r>
        <w:t xml:space="preserve">Ist der Name Ehename oder Lebenspartnerschaftsname, so kann die Erklärung während des Bestehens der Ehe oder Lebenspartnerschaft nur von beiden Ehegatten oder Lebenspartnern abgegeben werden.</w:t>
      </w:r>
    </w:p>
    <w:p>
      <w:r>
        <w:t xml:space="preserve">(2) Absatz 1 gilt entsprechend für die Bildung eines Namens nach deutschem Recht, wenn dieser von einem Namen abgeleitet werden soll, der nach einem anwendbaren ausländischen Recht erworben worden ist.</w:t>
      </w:r>
    </w:p>
    <w:p>
      <w:r>
        <w:t xml:space="preserve">(3) § 1617c des Bürgerlichen Gesetzbuchs gilt entsprechend.</w:t>
      </w:r>
    </w:p>
    <w:p>
      <w:r>
        <w:t xml:space="preserve">(4) Die Erklärungen nach den Absätzen 1 und 2 müssen öffentlich beglaubigt oder beurkundet werden, wenn sie nicht bei der Eheschließung oder bei der Begründung der Lebenspartnerschaft gegenüber einem deutschen Standesamt abgegeben werden.</w:t>
      </w:r>
    </w:p>
    <w:p>
      <w:r>
        <w:rPr>
          <w:color w:val="555555"/>
          <w:sz w:val="17"/>
        </w:rPr>
        <w:t xml:space="preserve">Zitiervorschlag: Art 47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47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