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46e BGBEG — Rechtswahl</w:t>
      </w:r>
    </w:p>
    <w:p>
      <w:r>
        <w:rPr>
          <w:color w:val="555555"/>
          <w:sz w:val="18"/>
        </w:rPr>
        <w:t xml:space="preserve">Einführungsgesetz zum Bürgerlichen Gesetzbuche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Eine Rechtswahlvereinbarung nach Artikel 5 der Verordnung (EU) Nr. 1259/2010 ist notariell zu beurkunden.</w:t>
      </w:r>
    </w:p>
    <w:p>
      <w:r>
        <w:t xml:space="preserve">(2) Die Ehegatten können die Rechtswahl nach Absatz 1 auch noch bis zum Schluss der mündlichen Verhandlung im ersten Rechtszug vornehmen. § 127a des Bürgerlichen Gesetzbuchs gilt entsprechend.</w:t>
      </w:r>
    </w:p>
    <w:p>
      <w:r>
        <w:rPr>
          <w:color w:val="555555"/>
          <w:sz w:val="17"/>
        </w:rPr>
        <w:t xml:space="preserve">Zitiervorschlag: Art 46e BGBEG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https://recht.nulegal.eu/gesetze/BGBEG/46e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