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46 BGBEG — Wesentlich engere Verbindung</w:t>
      </w:r>
    </w:p>
    <w:p>
      <w:r>
        <w:rPr>
          <w:color w:val="555555"/>
          <w:sz w:val="18"/>
        </w:rPr>
        <w:t xml:space="preserve">Einführungsgesetz zum Bürgerlichen Gesetzbuche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Besteht mit dem Recht eines Staates eine wesentlich engere Verbindung als mit dem Recht, das nach den Artikeln 43 und 45 maßgebend wäre, so ist jenes Recht anzuwenden.</w:t>
      </w:r>
    </w:p>
    <w:p>
      <w:r>
        <w:rPr>
          <w:color w:val="555555"/>
          <w:sz w:val="17"/>
        </w:rPr>
        <w:t xml:space="preserve">Zitiervorschlag: Art 46 BGBEG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https://recht.nulegal.eu/gesetze/BGBEG/46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