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BGBEG — Transportmittel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(1) Rechte an Luft-, Wasser- und Schienenfahrzeugen unterliegen dem Recht des Herkunftsstaats. Das ist</w:t>
      </w:r>
    </w:p>
    <w:p>
      <w:pPr>
        <w:ind w:left="420"/>
      </w:pPr>
      <w:r>
        <w:t xml:space="preserve">1. bei Luftfahrzeugen der Staat ihrer Staatszugehörigkeit,</w:t>
      </w:r>
    </w:p>
    <w:p>
      <w:pPr>
        <w:ind w:left="420"/>
      </w:pPr>
      <w:r>
        <w:t xml:space="preserve">2. bei Wasserfahrzeugen der Staat der Registereintragung, sonst des Heimathafens oder des Heimatorts,</w:t>
      </w:r>
    </w:p>
    <w:p>
      <w:pPr>
        <w:ind w:left="420"/>
      </w:pPr>
      <w:r>
        <w:t xml:space="preserve">3. bei Schienenfahrzeugen</w:t>
      </w:r>
    </w:p>
    <w:p>
      <w:pPr>
        <w:ind w:left="780"/>
      </w:pPr>
      <w:r>
        <w:t xml:space="preserve">a) der Staat der Zulassung,</w:t>
      </w:r>
    </w:p>
    <w:p>
      <w:pPr>
        <w:ind w:left="780"/>
      </w:pPr>
      <w:r>
        <w:t xml:space="preserve">b) mangels Zulassung der Staat der Registrierung oder</w:t>
      </w:r>
    </w:p>
    <w:p>
      <w:pPr>
        <w:ind w:left="780"/>
      </w:pPr>
      <w:r>
        <w:t xml:space="preserve">c) bei Registrierung in einem supranationalen Register der Staat, dem das Schienenfahrzeug in diesem Register zugeordnet ist.</w:t>
      </w:r>
    </w:p>
    <w:p>
      <w:r>
        <w:t xml:space="preserve">(2) Die Entstehung gesetzlicher Sicherungsrechte an diesen Fahrzeugen unterliegt dem Recht, das auf die zu sichernde Forderung anzuwenden ist. Für die Rangfolge mehrerer Sicherungsrechte gilt Artikel 43 Abs. 1.</w:t>
      </w:r>
    </w:p>
    <w:p>
      <w:r>
        <w:rPr>
          <w:color w:val="555555"/>
          <w:sz w:val="17"/>
        </w:rPr>
        <w:t xml:space="preserve">Zitiervorschlag: Art 45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