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BGBEG — Geschäftsführung ohne Auftrag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Gesetzliche Ansprüche aus der Besorgung eines fremden Geschäfts unterliegen dem Recht des Staates, in dem das Geschäft vorgenommen worden ist.</w:t>
      </w:r>
    </w:p>
    <w:p>
      <w:r>
        <w:t xml:space="preserve">(2) Ansprüche aus der Tilgung einer fremden Verbindlichkeit unterliegen dem Recht, das auf die Verbindlichkeit anzuwenden ist.</w:t>
      </w:r>
    </w:p>
    <w:p>
      <w:r>
        <w:rPr>
          <w:color w:val="555555"/>
          <w:sz w:val="17"/>
        </w:rPr>
        <w:t xml:space="preserve">Zitiervorschlag: Art 39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