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38 BGBEG — Ungerechtfertigte Bereicherung</w:t>
      </w:r>
    </w:p>
    <w:p>
      <w:r>
        <w:rPr>
          <w:color w:val="555555"/>
          <w:sz w:val="18"/>
        </w:rPr>
        <w:t xml:space="preserve">Einführungsgesetz zum Bürgerlichen Gesetzbuche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Bereicherungsansprüche wegen erbrachter Leistung unterliegen dem Recht, das auf das Rechtsverhältnis anzuwenden ist, auf das die Leistung bezogen ist.</w:t>
      </w:r>
    </w:p>
    <w:p>
      <w:r>
        <w:t xml:space="preserve">(2) Ansprüche wegen Bereicherung durch Eingriff in ein geschütztes Interesse unterliegen dem Recht des Staates, in dem der Eingriff geschehen ist.</w:t>
      </w:r>
    </w:p>
    <w:p>
      <w:r>
        <w:t xml:space="preserve">(3) In sonstigen Fällen unterliegen Ansprüche aus ungerechtfertigter Bereicherung dem Recht des Staates, in dem die Bereicherung eingetreten ist.</w:t>
      </w:r>
    </w:p>
    <w:p>
      <w:r>
        <w:rPr>
          <w:color w:val="555555"/>
          <w:sz w:val="17"/>
        </w:rPr>
        <w:t xml:space="preserve">Zitiervorschlag: Art 38 BGBEG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https://recht.nulegal.eu/gesetze/BGBEG/38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