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BGBEG — Anwendungsbereich; Verhältnis zu Regelungen der Europäischen Union und zu völkerrechtlichen Vereinbarungen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Soweit nicht</w:t>
      </w:r>
    </w:p>
    <w:p>
      <w:pPr>
        <w:ind w:left="420"/>
      </w:pPr>
      <w:r>
        <w:t xml:space="preserve">1. unmittelbar anwendbare Regelungen der Europäischen Union in ihrer jeweils geltenden Fassung, insbesondere</w:t>
      </w:r>
    </w:p>
    <w:p>
      <w:pPr>
        <w:ind w:left="780"/>
      </w:pPr>
      <w:r>
        <w:t xml:space="preserve">a) die Verordnung (EG) Nr. 864/2007 des Europäischen Parlaments und des Rates vom 11. Juli 2007 über das auf außervertragliche Schuldverhältnisse anzuwendende Recht (Rom II),</w:t>
      </w:r>
    </w:p>
    <w:p>
      <w:pPr>
        <w:ind w:left="780"/>
      </w:pPr>
      <w:r>
        <w:t xml:space="preserve">b) die Verordnung (EG) Nr. 593/2008 des Europäischen Parlaments und des Rates vom 17. Juni 2008 über das auf vertragliche Schuldverhältnisse anzuwendende Recht (Rom I),</w:t>
      </w:r>
    </w:p>
    <w:p>
      <w:pPr>
        <w:ind w:left="780"/>
      </w:pPr>
      <w:r>
        <w:t xml:space="preserve">c) Artikel 15 der Verordnung (EG) Nr. 4/2009 des Rates vom 18. Dezember 2008 über die Zuständigkeit, das anwendbare Recht, die Anerkennung und Vollstreckung von Entscheidungen und die Zusammenarbeit in Unterhaltssachen in Verbindung mit dem Haager Protokoll vom 23. November 2007 über das auf Unterhaltspflichten anzuwendende Recht,</w:t>
      </w:r>
    </w:p>
    <w:p>
      <w:pPr>
        <w:ind w:left="780"/>
      </w:pPr>
      <w:r>
        <w:t xml:space="preserve">d) die Verordnung (EU) Nr. 1259/2010 des Rates vom 20. Dezember 2010 zur Durchführung einer Verstärkten Zusammenarbeit im Bereich des auf die Ehescheidung und Trennung ohne Auflösung des Ehebandes anzuwendenden Rechts,</w:t>
      </w:r>
    </w:p>
    <w:p>
      <w:pPr>
        <w:ind w:left="780"/>
      </w:pPr>
      <w:r>
        <w:t xml:space="preserve">e) die Verordnung (EU) Nr.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w:t>
      </w:r>
    </w:p>
    <w:p>
      <w:pPr>
        <w:ind w:left="780"/>
      </w:pPr>
      <w:r>
        <w:t xml:space="preserve">f) die Verordnung (EU) 2016/1103 des Rates vom 24. Juni 2016 zur Durchführung einer Verstärkten Zusammenarbeit im Bereich der Zuständigkeit, des anzuwendenden Rechts und der Anerkennung und Vollstreckung von Entscheidungen in Fragen des ehelichen Güterstands sowie</w:t>
      </w:r>
    </w:p>
    <w:p>
      <w:pPr>
        <w:ind w:left="780"/>
      </w:pPr>
      <w:r>
        <w:t xml:space="preserve">g) die Verordnung (EU) 2016/1104 des Rates vom 24. Juni 2016 zur Durchführung der Verstärkten Zusammenarbeit im Bereich der Zuständigkeit, des anzuwendenden Rechts und der Anerkennung und Vollstreckung von Entscheidungen in Fragen güterrechtlicher Wirkungen eingetragener Partnerschaften oder</w:t>
      </w:r>
    </w:p>
    <w:p>
      <w:pPr>
        <w:ind w:left="420"/>
      </w:pPr>
      <w:r>
        <w:t xml:space="preserve">2. Regelungen in völkerrechtlichen Vereinbarungen, soweit sie unmittelbar anwendbares innerstaatliches Recht geworden sind,</w:t>
      </w:r>
    </w:p>
    <w:p>
      <w:r>
        <w:t xml:space="preserve">maßgeblich sind, bestimmt sich das anzuwendende Recht bei Sachverhalten mit einer Verbindung zu einem ausländischen Staat nach den Vorschriften dieses Kapitels (Internationales Privatrecht).</w:t>
      </w:r>
    </w:p>
    <w:p>
      <w:r>
        <w:rPr>
          <w:color w:val="555555"/>
          <w:sz w:val="17"/>
        </w:rPr>
        <w:t xml:space="preserve">Zitiervorschlag: Art 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