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248 § 13 BGBEG — Vorvertragliche Informationen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folgenden vorvertraglichen Informationen und Vertragsbedingungen sind rechtzeitig vor Abgabe der Vertragserklärung des Zahlungsdienstnutzers zur Verfügung zu stellen:</w:t>
      </w:r>
    </w:p>
    <w:p>
      <w:pPr>
        <w:ind w:left="420"/>
      </w:pPr>
      <w:r>
        <w:t xml:space="preserve">1. die vom Zahlungsdienstnutzer mitzuteilenden Informationen oder Kundenkennungen, die für die ordnungsgemäße Auslösung oder Ausführung eines Zahlungsauftrags erforderlich sind,</w:t>
      </w:r>
    </w:p>
    <w:p>
      <w:pPr>
        <w:ind w:left="420"/>
      </w:pPr>
      <w:r>
        <w:t xml:space="preserve">2. die maximale Ausführungsfrist für den zu erbringenden Zahlungsdienst,</w:t>
      </w:r>
    </w:p>
    <w:p>
      <w:pPr>
        <w:ind w:left="420"/>
      </w:pPr>
      <w:r>
        <w:t xml:space="preserve">3. alle Entgelte, die der Zahlungsdienstnutzer an den Zahlungsdienstleister zu entrichten hat, und gegebenenfalls ihre Aufschlüsselung,</w:t>
      </w:r>
    </w:p>
    <w:p>
      <w:pPr>
        <w:ind w:left="420"/>
      </w:pPr>
      <w:r>
        <w:t xml:space="preserve">4. gegebenenfalls der dem Zahlungsvorgang zugrunde zu legende tatsächliche Wechselkurs oder Referenzwechselkurs.</w:t>
      </w:r>
    </w:p>
    <w:p>
      <w:r>
        <w:t xml:space="preserve">(2) Ein Zahlungsauslösedienstleister hat dem Zahler rechtzeitig vor der Auslösung des Zahlungsvorgangs auch die folgenden Informationen zur Verfügung zu stellen:</w:t>
      </w:r>
    </w:p>
    <w:p>
      <w:pPr>
        <w:ind w:left="420"/>
      </w:pPr>
      <w:r>
        <w:t xml:space="preserve">1. den Namen des Zahlungsauslösedienstleisters, die Anschrift seiner Hauptverwaltung und gegebenenfalls die Anschrift seines Agenten oder seiner Zweigniederlassung in dem Mitgliedstaat, in dem der Zahlungsauslösedienst angeboten wird, sowie alle anderen Kontaktdaten einschließlich der E-Mail-Adresse, die für die Kommunikation mit dem Zahlungsauslösedienstleister von Belang sind, und</w:t>
      </w:r>
    </w:p>
    <w:p>
      <w:pPr>
        <w:ind w:left="420"/>
      </w:pPr>
      <w:r>
        <w:t xml:space="preserve">2. die Kontaktdaten der zuständigen Behörde.</w:t>
      </w:r>
    </w:p>
    <w:p>
      <w:r>
        <w:t xml:space="preserve">(3) Die anderen in § 4 Absatz 1 genannten Informationen sind, soweit sie für den Einzelzahlungsvertrag erheblich sind, dem Zahlungsdienstnutzer ebenfalls zur Verfügung zu stellen.</w:t>
      </w:r>
    </w:p>
    <w:p>
      <w:r>
        <w:t xml:space="preserve">(4) Wenn auf Verlangen des Zahlungsdienstnutzers der Einzelzahlungsvertrag unter Verwendung eines Fernkommunikationsmittels geschlossen wird, das dem Zahlungsdienstleister die Informationsunterrichtung nach Absatz 1 nicht gestattet, hat der Zahlungsdienstleister den Zahlungsdienstnutzer unverzüglich nach Ausführung des Zahlungsvorgangs in der Form zu unterrichten, die in den §§ 2 und 12 vorgesehen ist.</w:t>
      </w:r>
    </w:p>
    <w:p>
      <w:r>
        <w:t xml:space="preserve">(5) Die Pflichten gemäß Absatz 1 können auch erfüllt werden, indem eine Abschrift des Vertragsentwurfs übermittelt wird, die die nach Absatz 1 erforderlichen Informationen und Vertragsbedingungen enthält.</w:t>
      </w:r>
    </w:p>
    <w:p>
      <w:r>
        <w:rPr>
          <w:color w:val="555555"/>
          <w:sz w:val="17"/>
        </w:rPr>
        <w:t xml:space="preserve">Zitiervorschlag: Art 248 § 13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