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247 § 2 BGBEG — Form, Zeitpunkt und Muster der vorvertraglichen Informationen bei Allgemein-Verbraucherdarlehensverträgen</w:t>
      </w:r>
    </w:p>
    <w:p>
      <w:r>
        <w:rPr>
          <w:color w:val="555555"/>
          <w:sz w:val="18"/>
        </w:rPr>
        <w:t xml:space="preserve">Einführungsgesetz zum Bürgerlichen Gesetzbuche</w:t>
      </w:r>
    </w:p>
    <w:p>
      <w:r>
        <w:rPr>
          <w:color w:val="555555"/>
          <w:sz w:val="18"/>
        </w:rPr>
        <w:t xml:space="preserve">Stand: 19.06.2026 (konsolidierte Textfassung, kein amtliches Inkrafttretensdatum)</w:t>
      </w:r>
    </w:p>
    <w:p>
      <w:r>
        <w:t xml:space="preserve">(1) Bei einem Allgemein-Verbraucherdarlehensvertrag muss der Darlehensgeber den Darlehensnehmer über die Einzelheiten nach den §§ 3 bis 5 und 8 bis 13 unterrichten, und zwar rechtzeitig vor Abgabe der Vertragserklärung des Darlehensnehmers. Die Unterrichtung erfolgt in Textform.</w:t>
      </w:r>
    </w:p>
    <w:p>
      <w:r>
        <w:t xml:space="preserve">(2) Für die Unterrichtung nach Absatz 1 ist vorbehaltlich des Absatzes 3 die Europäische Standardinformation für Verbraucherkredite gemäß dem Muster in Anlage 4 zu verwenden.</w:t>
      </w:r>
    </w:p>
    <w:p>
      <w:r>
        <w:t xml:space="preserve">(3) Soll ein Allgemein-Verbraucherdarlehensvertrag gemäß § 495 Absatz 2 Nummer 1 oder § 504 Absatz 2 des Bürgerlichen Gesetzbuchs abgeschlossen werden, kann der Darlehensgeber zur Unterrichtung die Europäische Verbraucherkreditinformation gemäß dem Muster in Anlage 5 verwenden. Verwendet der Darlehensgeber das Muster nicht, hat er bei der Unterrichtung alle nach den §§ 3 bis 5 und 8 bis 13 erforderlichen Angaben gleichartig zu gestalten und hervorzuheben.</w:t>
      </w:r>
    </w:p>
    <w:p>
      <w:r>
        <w:t xml:space="preserve">(4) Die Verpflichtung zur Unterrichtung nach § 491a Abs. 1 des Bürgerlichen Gesetzbuchs gilt als erfüllt, wenn der Darlehensgeber dem Darlehensnehmer das ordnungsgemäß ausgefüllte Muster in Textform übermittelt hat. Die in diesem Absatz genannten Verpflichtungen gelten bis 31. Dezember 2010 auch bei Übermittlung des Musters in den Anlagen 4 und 5 in der Fassung des Gesetzes zur Umsetzung der Verbraucherkreditrichtlinie, des zivilrechtlichen Teils der Zahlungsdiensterichtlinie sowie zur Neuordnung der Vorschriften über das Widerrufs- und Rückgaberecht vom 29. Juli 2009 (BGBl. I S. 2355) als erfüllt.</w:t>
      </w:r>
    </w:p>
    <w:p>
      <w:r>
        <w:rPr>
          <w:color w:val="555555"/>
          <w:sz w:val="17"/>
        </w:rPr>
        <w:t xml:space="preserve">Zitiervorschlag: Art 247 § 2 BGBEG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https://recht.nulegal.eu/gesetze/BGBEG/247-2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