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247 § 11 BGBEG — Abweichende Mitteilungspflichten bei Allgemein-Verbraucherdarlehensverträgen zur Umschuldung gemäß § 495 Absatz 2 Nummer 1 des Bürgerlichen Gesetzbuchs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(1) Bei Allgemein-Verbraucherdarlehensverträgen zur Umschuldung gemäß § 495 Absatz 2 Nummer 1 des Bürgerlichen Gesetzbuchs sind abweichend von den §§ 3, 4 und 6 nur anzugeben:</w:t>
      </w:r>
    </w:p>
    <w:p>
      <w:pPr>
        <w:ind w:left="420"/>
      </w:pPr>
      <w:r>
        <w:t xml:space="preserve">1. in der vorvertraglichen Information</w:t>
      </w:r>
    </w:p>
    <w:p>
      <w:pPr>
        <w:ind w:left="780"/>
      </w:pPr>
      <w:r>
        <w:t xml:space="preserve">a) die Angaben nach § 3 Abs. 1 Nr. 1 bis 7, 10, 11, 14 und 16, Abs. 3 und 4,</w:t>
      </w:r>
    </w:p>
    <w:p>
      <w:pPr>
        <w:ind w:left="780"/>
      </w:pPr>
      <w:r>
        <w:t xml:space="preserve">b) die Angaben nach § 4 Abs. 1 Nr. 3,</w:t>
      </w:r>
    </w:p>
    <w:p>
      <w:pPr>
        <w:ind w:left="780"/>
      </w:pPr>
      <w:r>
        <w:t xml:space="preserve">c) die Angaben nach § 10 Abs. 1 Nr. 1 Buchstabe b sowie</w:t>
      </w:r>
    </w:p>
    <w:p>
      <w:pPr>
        <w:ind w:left="780"/>
      </w:pPr>
      <w:r>
        <w:t xml:space="preserve">d) gegebenenfalls die Angaben nach § 4 Abs. 1 Nr. 4;</w:t>
      </w:r>
    </w:p>
    <w:p>
      <w:pPr>
        <w:ind w:left="420"/>
      </w:pPr>
      <w:r>
        <w:t xml:space="preserve">2. im Vertrag</w:t>
      </w:r>
    </w:p>
    <w:p>
      <w:pPr>
        <w:ind w:left="780"/>
      </w:pPr>
      <w:r>
        <w:t xml:space="preserve">a) die Angaben nach § 6 Abs. 1 Nr. 1 in Verbindung mit § 3 Abs. 1 Nr. 1 bis 9, 11 und 14, Abs. 3 und 4 sowie</w:t>
      </w:r>
    </w:p>
    <w:p>
      <w:pPr>
        <w:ind w:left="780"/>
      </w:pPr>
      <w:r>
        <w:t xml:space="preserve">b) die Angaben nach § 6 Abs. 1 Nr. 2 bis 4 und 6.</w:t>
      </w:r>
    </w:p>
    <w:p>
      <w:r>
        <w:t xml:space="preserve">(2) In den Fällen des § 5 Absatz 1 muss die Beschreibung der wesentlichen Merkmale nach Artikel 246b § 1 Absatz 1 Nummer 6 zumindest die Angaben nach § 3 Abs. 1 Nr. 3 bis 6, 10 sowie Abs. 3 und 4 enthalten.</w:t>
      </w:r>
    </w:p>
    <w:p>
      <w:r>
        <w:t xml:space="preserve">(3) Wird ein Verbraucherdarlehensvertrag gemäß § 495 Absatz 2 Nummer 1 des Bürgerlichen Gesetzbuchs als Überziehungsmöglichkeit im Sinne des § 504 Abs. 2 Satz 1 des Bürgerlichen Gesetzbuchs abgeschlossen, gilt § 10. Die Absätze 1 und 2 sind nicht anzuwenden.</w:t>
      </w:r>
    </w:p>
    <w:p>
      <w:r>
        <w:rPr>
          <w:color w:val="555555"/>
          <w:sz w:val="17"/>
        </w:rPr>
        <w:t xml:space="preserve">Zitiervorschlag: Art 247 § 11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https://recht.nulegal.eu/gesetze/BGBEG/247-11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