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247 § 10 BGBEG — Abweichende Mitteilungspflichten bei Überziehungsmöglichkeiten gemäß § 504 Abs. 2 des Bürgerlichen Gesetzbuchs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19.06.2026 (konsolidierte Textfassung, kein amtliches Inkrafttretensdatum)</w:t>
      </w:r>
    </w:p>
    <w:p>
      <w:r>
        <w:t xml:space="preserve">(1) Bei Überziehungsmöglichkeiten im Sinne des § 504 Abs. 2 des Bürgerlichen Gesetzbuchs sind abweichend von den §§ 3, 4 und 6 nur anzugeben:</w:t>
      </w:r>
    </w:p>
    <w:p>
      <w:pPr>
        <w:ind w:left="420"/>
      </w:pPr>
      <w:r>
        <w:t xml:space="preserve">1. in der vorvertraglichen Information</w:t>
      </w:r>
    </w:p>
    <w:p>
      <w:pPr>
        <w:ind w:left="780"/>
      </w:pPr>
      <w:r>
        <w:t xml:space="preserve">a) die Angaben nach § 3 Absatz 1 Nummer 1 bis 6, 10, 11 und 16, Absatz 3 und 4 sowie gegebenenfalls nach § 4 Abs. 1 Nr. 4,</w:t>
      </w:r>
    </w:p>
    <w:p>
      <w:pPr>
        <w:ind w:left="780"/>
      </w:pPr>
      <w:r>
        <w:t xml:space="preserve">b) die Bedingungen zur Beendigung des Darlehensverhältnisses und</w:t>
      </w:r>
    </w:p>
    <w:p>
      <w:pPr>
        <w:ind w:left="780"/>
      </w:pPr>
      <w:r>
        <w:t xml:space="preserve">c) der Hinweis, dass der Darlehensnehmer jederzeit zur Rückzahlung des gesamten Darlehensbetrags aufgefordert werden kann, falls ein entsprechendes Kündigungsrecht für den Darlehensgeber vereinbart werden soll;</w:t>
      </w:r>
    </w:p>
    <w:p>
      <w:pPr>
        <w:ind w:left="420"/>
      </w:pPr>
      <w:r>
        <w:t xml:space="preserve">2. im Vertrag</w:t>
      </w:r>
    </w:p>
    <w:p>
      <w:pPr>
        <w:ind w:left="780"/>
      </w:pPr>
      <w:r>
        <w:t xml:space="preserve">a) die Angaben nach § 6 Abs. 1 Nr. 1 in Verbindung mit § 3 Abs. 1 Nr. 1 bis 6, 9 und 10, Abs. 4,</w:t>
      </w:r>
    </w:p>
    <w:p>
      <w:pPr>
        <w:ind w:left="780"/>
      </w:pPr>
      <w:r>
        <w:t xml:space="preserve">b) die Angaben nach § 6 Abs. 1 Nr. 2 und 5,</w:t>
      </w:r>
    </w:p>
    <w:p>
      <w:pPr>
        <w:ind w:left="780"/>
      </w:pPr>
      <w:r>
        <w:t xml:space="preserve">c) die Gesamtkosten sowie</w:t>
      </w:r>
    </w:p>
    <w:p>
      <w:pPr>
        <w:ind w:left="780"/>
      </w:pPr>
      <w:r>
        <w:t xml:space="preserve">d) gegebenenfalls der Hinweis nach Nummer 1 Buchstabe c.</w:t>
      </w:r>
    </w:p>
    <w:p>
      <w:r>
        <w:t xml:space="preserve">(2) In den Fällen des § 5 Absatz 1 muss die Beschreibung der wesentlichen Merkmale nach Artikel 246b § 1 Absatz 1 Nummer 6 zumindest die Angaben nach § 3 Absatz 1 Nummer 3 bis 5, 10, Absatz 3 und 4 sowie nach Absatz 1 Nr. 1 Buchstabe c enthalten.</w:t>
      </w:r>
    </w:p>
    <w:p>
      <w:r>
        <w:t xml:space="preserve">(3) Die Angabe des effektiven Jahreszinses ist entbehrlich, wenn der Darlehensgeber außer den Sollzinsen keine weiteren Kosten verlangt und die Sollzinsen nicht in kürzeren Zeiträumen als drei Monaten fällig werden.</w:t>
      </w:r>
    </w:p>
    <w:p>
      <w:r>
        <w:rPr>
          <w:color w:val="555555"/>
          <w:sz w:val="17"/>
        </w:rPr>
        <w:t xml:space="preserve">Zitiervorschlag: Art 247 § 10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https://recht.nulegal.eu/gesetze/BGBEG/247-10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