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246e § 2 BGBEG — Bußgeldvorschriften</w:t>
      </w:r>
    </w:p>
    <w:p>
      <w:r>
        <w:rPr>
          <w:color w:val="555555"/>
          <w:sz w:val="18"/>
        </w:rPr>
        <w:t xml:space="preserve">Einführungsgesetz zum Bürgerlichen Gesetzbuche</w:t>
      </w:r>
    </w:p>
    <w:p>
      <w:r>
        <w:rPr>
          <w:color w:val="555555"/>
          <w:sz w:val="18"/>
        </w:rPr>
        <w:t xml:space="preserve">Stand: 19.06.2026 (konsolidierte Textfassung, kein amtliches Inkrafttretensdatum)</w:t>
      </w:r>
    </w:p>
    <w:p>
      <w:r>
        <w:t xml:space="preserve">(1) Ordnungswidrig handelt, wer vorsätzlich oder fahrlässig entgegen § 1 Absatz 1 Verbraucherinteressen im Zusammenhang mit Verbraucherverträgen nach § 1 Absatz 2 oder 3 verletzt.</w:t>
      </w:r>
    </w:p>
    <w:p>
      <w:r>
        <w:t xml:space="preserve">(2) Die Ordnungswidrigkeit nach Absatz 1 kann mit einer Geldbuße bis zu fünfzigtausend Euro geahndet werden.</w:t>
      </w:r>
    </w:p>
    <w:p>
      <w:r>
        <w:t xml:space="preserve">(3) Gegenüber einem Unternehmer mit einem Jahresumsatz von mehr als 1,25 Millionen Euro kann abweichend von Absatz 2, auch in Verbindung mit § 30 Absatz 2 Satz 2 des Gesetzes über Ordnungswidrigkeiten, die Ordnungswidrigkeit nach Absatz 1 mit einer Geldbuße bis zu 4 Prozent des Jahresumsatzes geahndet werden. Jahresumsatz nach Satz 1 ist die Summe aller Umsatzerlöse, die der Unternehmer in dem der Behördenentscheidung vorausgegangenen Geschäftsjahr in den Mitgliedstaaten der Europäischen Union erzielt hat, die von dem Verstoß betroffen sind. Der Jahresumsatz kann geschätzt werden. Liegen keine Anhaltspunkte für eine Schätzung des Jahresumsatzes vor, beträgt das Höchstmaß der Geldbuße zwei Millionen Euro.</w:t>
      </w:r>
    </w:p>
    <w:p>
      <w:r>
        <w:t xml:space="preserve">(4) § 17 Absatz 2 des Gesetzes über Ordnungswidrigkeiten ist auf die Festsetzung der Geldbuße gegen einen Unternehmer nicht anzuwenden.</w:t>
      </w:r>
    </w:p>
    <w:p>
      <w:r>
        <w:t xml:space="preserve">(5) Die Ordnungswidrigkeit kann nur im Rahmen einer koordinierten Durchsetzungsmaßnahme nach Artikel 21 der Verordnung (EU) 2017/2394 in der Fassung vom 19. Dezember 2024 geahndet werden.</w:t>
      </w:r>
    </w:p>
    <w:p>
      <w:r>
        <w:t xml:space="preserve">(6) Verwaltungsbehörde im Sinne des § 36 Absatz 1 Nummer 1 des Gesetzes über Ordnungswidrigkeiten ist das Bundesamt für Justiz.</w:t>
      </w:r>
    </w:p>
    <w:p>
      <w:r>
        <w:rPr>
          <w:color w:val="555555"/>
          <w:sz w:val="17"/>
        </w:rPr>
        <w:t xml:space="preserve">Zitiervorschlag: Art 246e § 2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https://recht.nulegal.eu/gesetze/BGBEG/246e-2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