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246d § 2 BGBEG — Formale Anforderungen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Der Betreiber eines Online-Marktplatzes muss dem Verbraucher die Informationen nach § 1 vor Abgabe von dessen Vertragserklärung in klarer, verständlicher und in einer den benutzten Fernkommunikationsmitteln angepassten Weise zur Verfügung stellen.</w:t>
      </w:r>
    </w:p>
    <w:p>
      <w:r>
        <w:t xml:space="preserve">(2) Die Informationen nach § 1 Nummer 1 und 2 müssen dem Verbraucher in einem bestimmten Bereich der Online-Benutzeroberfläche zur Verfügung gestellt werden, der von der Webseite, auf der die Angebote angezeigt werden, unmittelbar und leicht zugänglich ist.</w:t>
      </w:r>
    </w:p>
    <w:p>
      <w:r>
        <w:rPr>
          <w:color w:val="555555"/>
          <w:sz w:val="17"/>
        </w:rPr>
        <w:t xml:space="preserve">Zitiervorschlag: Art 246d § 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https://recht.nulegal.eu/gesetze/BGBEG/246d-2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