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246c BGBEG — Informationspflichten bei Verträgen im elektronischen Geschäftsverkehr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Verträgen im elektronischen Geschäftsverkehr muss der Unternehmer den Kunden unterrichten</w:t>
      </w:r>
    </w:p>
    <w:p>
      <w:pPr>
        <w:ind w:left="420"/>
      </w:pPr>
      <w:r>
        <w:t xml:space="preserve">1. über die einzelnen technischen Schritte, die zu einem Vertragsschluss führen,</w:t>
      </w:r>
    </w:p>
    <w:p>
      <w:pPr>
        <w:ind w:left="420"/>
      </w:pPr>
      <w:r>
        <w:t xml:space="preserve">2. darüber, ob der Vertragstext nach dem Vertragsschluss von dem Unternehmer gespeichert wird und ob er dem Kunden zugänglich ist,</w:t>
      </w:r>
    </w:p>
    <w:p>
      <w:pPr>
        <w:ind w:left="420"/>
      </w:pPr>
      <w:r>
        <w:t xml:space="preserve">3. darüber, wie er mit den nach § 312i Absatz 1 Satz 1 Nummer 1 des Bürgerlichen Gesetzbuchs zur Verfügung gestellten technischen Mitteln Eingabefehler vor Abgabe der Vertragserklärung erkennen und berichtigen kann,</w:t>
      </w:r>
    </w:p>
    <w:p>
      <w:pPr>
        <w:ind w:left="420"/>
      </w:pPr>
      <w:r>
        <w:t xml:space="preserve">4. über die für den Vertragsschluss zur Verfügung stehenden Sprachen und</w:t>
      </w:r>
    </w:p>
    <w:p>
      <w:pPr>
        <w:ind w:left="420"/>
      </w:pPr>
      <w:r>
        <w:t xml:space="preserve">5. über sämtliche einschlägigen Verhaltenskodizes, denen sich der Unternehmer unterwirft, sowie über die Möglichkeit eines elektronischen Zugangs zu diesen Regelwerken.</w:t>
      </w:r>
    </w:p>
    <w:p>
      <w:r>
        <w:rPr>
          <w:color w:val="555555"/>
          <w:sz w:val="17"/>
        </w:rPr>
        <w:t xml:space="preserve">Zitiervorschlag: Art 246c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https://recht.nulegal.eu/gesetze/BGBEG/246c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