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234 § 7 BGBEG — Abstammung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Entscheidungen, die vor dem Wirksamwerden des Beitritts ergangen sind und feststellen, daß der Ehemann der Mutter nicht der Vater des Kindes ist, wer der Vater des Kindes ist oder daß eine Anerkennung der Vaterschaft unwirksam ist, bleiben unberührt. Dasselbe gilt für eine Anerkennung der Vaterschaft, die nach dem 31. März 1966 und vor dem Wirksamwerden des Beitritts wirksam geworden ist.</w:t>
      </w:r>
    </w:p>
    <w:p>
      <w:r>
        <w:t xml:space="preserve">(2) Die Fristen für Klagen, durch welche die Ehelichkeit eines Kindes oder die Anerkennung der Vaterschaft angefochten wird, beginnen nicht vor dem Wirksamwerden des Beitritts, wenn der Anfechtungsberechtigte nach dem bisher geltenden Recht nicht klageberechtigt war.</w:t>
      </w:r>
    </w:p>
    <w:p>
      <w:r>
        <w:t xml:space="preserve">(3) Ist vor dem Wirksamwerden des Beitritts die Vaterschaft angefochten oder Klage auf Feststellung der Unwirksamkeit einer Anerkennung der Vaterschaft erhoben und über die Klagen nicht vor dem Wirksamwerden des Beitritts rechtskräftig entschieden worden, so wird der Zeitraum von der Klageerhebung bis zum Wirksamwerden des Beitritts in die in Absatz 2 genannten Fristen nicht eingerechnet, wenn die Klage aufgrund des Inkrafttretens des Bürgerlichen Gesetzbuchs nicht mehr von dem Kläger erhoben oder nicht mehr gegen den Beklagten gerichtet werden kann.</w:t>
      </w:r>
    </w:p>
    <w:p>
      <w:r>
        <w:t xml:space="preserve">(4) Andere als die in Absatz 1 genannten Entscheidungen und Erklärungen, die nach dem bisherigen Recht die Wirkung einer Vaterschaftsfeststellung haben, stehen einer Anerkennung der Vaterschaft im Sinne des Absatzes 1 Satz 2 gleich.</w:t>
      </w:r>
    </w:p>
    <w:p>
      <w:r>
        <w:rPr>
          <w:color w:val="555555"/>
          <w:sz w:val="17"/>
        </w:rPr>
        <w:t xml:space="preserve">Zitiervorschlag: Art 234 § 7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https://recht.nulegal.eu/gesetze/BGBEG/234-7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