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234 § 13 BGBEG — Annahme als Kind</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Für Annahmeverhältnisse, die vor dem Wirksamwerden des Beitritts begründet worden sind, gelten § 1755 Abs. 1 Satz 2, die §§ 1756 und 1760 Abs. 2 Buchstabe e, § 1762 Abs. 2 und die §§ 1767 bis 1772 des Bürgerlichen Gesetzbuchs nicht. § 1766 des Bürgerlichen Gesetzbuchs gilt nicht, wenn die Ehe vor dem Wirksamwerden des Beitritts geschlossen worden ist.</w:t>
      </w:r>
    </w:p>
    <w:p>
      <w:r>
        <w:t xml:space="preserve">(2) Vor dem Wirksamwerden des Beitritts ergangene Entscheidungen des Gerichts, durch die ein Annahmeverhältnis aufgehoben worden ist, bleiben unberührt. Dasselbe gilt für Entscheidungen eines staatlichen Organs, durch die ein Annahmeverhältnis aufgehoben worden ist und die vor dem Wirksamwerden des Beitritts wirksam geworden sind.</w:t>
      </w:r>
    </w:p>
    <w:p>
      <w:r>
        <w:t xml:space="preserve">(3) Ist ein Annahmeverhältnis vor dem Wirksamwerden des Beitritts ohne die Einwilligung des Kindes oder eines Elternteils begründet worden, so kann es aus diesem Grund nur aufgehoben werden, wenn die Einwilligung nach dem bisherigen Recht erforderlich war.</w:t>
      </w:r>
    </w:p>
    <w:p>
      <w:r>
        <w:t xml:space="preserve">(4) Ist ein Annahmeverhältnis vor dem Wirksamwerden des Beitritts begründet worden und war die Einwilligung eines Elternteils nach dem bisherigen Recht nicht erforderlich, weil</w:t>
      </w:r>
    </w:p>
    <w:p>
      <w:pPr>
        <w:ind w:left="420"/>
      </w:pPr>
      <w:r>
        <w:t xml:space="preserve">1. dieser Elternteil zur Abgabe einer Erklärung für eine nicht absehbare Zeit außerstande war,</w:t>
      </w:r>
    </w:p>
    <w:p>
      <w:pPr>
        <w:ind w:left="420"/>
      </w:pPr>
      <w:r>
        <w:t xml:space="preserve">2. diesem Elternteil das Erziehungsrecht entzogen war oder</w:t>
      </w:r>
    </w:p>
    <w:p>
      <w:pPr>
        <w:ind w:left="420"/>
      </w:pPr>
      <w:r>
        <w:t xml:space="preserve">3. der Aufenthalt dieses Elternteils nicht ermittelt werden konnte,</w:t>
      </w:r>
    </w:p>
    <w:p>
      <w:r>
        <w:t xml:space="preserve">so kann das Annahmeverhältnis gleichwohl auf Antrag dieses Elternteils aufgehoben werden. § 1761 des Bürgerlichen Gesetzbuchs gilt entsprechend.</w:t>
      </w:r>
    </w:p>
    <w:p>
      <w:r>
        <w:t xml:space="preserve">(5) Ist ein Annahmeverhältnis vor dem Wirksamwerden des Beitritts begründet worden und ist die Einwilligung eines Elternteils ersetzt worden, so gilt Absatz 4 entsprechend.</w:t>
      </w:r>
    </w:p>
    <w:p>
      <w:r>
        <w:t xml:space="preserve">(6) Ein Antrag auf Aufhebung eines vor dem Wirksamwerden des Beitritts begründeten Annahmeverhältnisses kann nur bis zum Ablauf von drei Jahren nach dem Wirksamwerden des Beitritts gestellt werden. Für die Entgegennahme des Antrags ist jedes Vormundschaftsgericht zuständig.</w:t>
      </w:r>
    </w:p>
    <w:p>
      <w:r>
        <w:t xml:space="preserve">(7) Ist über die Klage eines leiblichen Elternteils auf Aufhebung eines Annahmeverhältnisses am Tag des Wirksamwerdens des Beitritts noch nicht rechtskräftig entschieden worden, so gilt die Klage als Antrag auf Aufhebung des Annahmeverhältnisses. § 1762 Abs. 3 des Bürgerlichen Gesetzbuchs gilt nicht.</w:t>
      </w:r>
    </w:p>
    <w:p>
      <w:r>
        <w:rPr>
          <w:color w:val="555555"/>
          <w:sz w:val="17"/>
        </w:rPr>
        <w:t xml:space="preserve">Zitiervorschlag: Art 234 § 13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https://recht.nulegal.eu/gesetze/BGBEG/234-13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