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233 § 5 BGBEG — Mitbenutzungsrechte</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Mitbenutzungsrechte im Sinn des § 321 Abs. 1 bis 3 und des § 322 des Zivilgesetzbuchs der Deutschen Demokratischen Republik gelten als Rechte an dem belasteten Grundstück, soweit ihre Begründung der Zustimmung des Eigentümers dieses Grundstücks bedurfte.</w:t>
      </w:r>
    </w:p>
    <w:p>
      <w:r>
        <w:t xml:space="preserve">(2) Soweit die in Absatz 1 bezeichneten Rechte nach den am Tag vor dem Wirksamwerden des Beitritts geltenden Rechtsvorschriften gegenüber einem Erwerber des belasteten Grundstücks oder eines Rechts an diesem Grundstück auch dann wirksam bleiben, wenn sie nicht im Grundbuch eingetragen sind, behalten sie ihre Wirksamkeit auch gegenüber den Vorschriften des Bürgerlichen Gesetzbuchs über den öffentlichen Glauben des Grundbuchs, wenn der dem Erwerb zugrundeliegende Eintragungsantrag vor dem 1. Januar 2001 gestellt worden ist. Der Erwerber des Eigentums oder eines sonstigen Rechts an dem belasteten Grundstück kann in diesem Fall jedoch die Aufhebung oder Änderung des Mitbenutzungsrechts gegen Ausgleich der dem Berechtigten dadurch entstehenden Vermögensnachteile verlangen, wenn das Mitbenutzungsrecht für ihn mit Nachteilen verbunden ist, welche erheblich größer sind als der durch die Aufhebung oder Änderung dieses Rechts dem Berechtigten entstehende Schaden; dies gilt nicht, wenn derjenige, der die Aufhebung oder Änderung des Mitbenutzungsrechts verlangt, beim Erwerb des Eigentums oder sonstigen Rechts an dem belasteten Grundstück in dem für den öffentlichen Glauben des Grundbuchs maßgeblichen Zeitpunkt das Vorhandensein des Mitbenutzungsrechts kannte. In der Zwangsversteigerung des Grundstücks ist bei bis zum Ablauf des 31. Dezember 2000 angeordneten Zwangsversteigerungen auf die in Absatz 1 bezeichneten Rechte § 9 des Einführungsgesetzes zu dem Gesetz über die Zwangsversteigerung und die Zwangsverwaltung in der im Bundesgesetzblatt Teil III, Gliederungsnummer 310-13, veröffentlichten bereinigten Fassung, zuletzt geändert durch Artikel 7 Abs. 24 des Gesetzes vom 17. Dezember 1990 (BGBl. I S. 2847), entsprechend anzuwenden.</w:t>
      </w:r>
    </w:p>
    <w:p>
      <w:r>
        <w:t xml:space="preserve">(3) Ein nach Absatz 1 als Recht an einem Grundstück geltendes Mitbenutzungsrecht kann in das Grundbuch auch dann eingetragen werden, wenn es nach den am Tag vor dem Wirksamwerden des Beitritts geltenden Vorschriften nicht eintragungsfähig war. Bei Eintragung eines solchen Rechts ist der Zeitpunkt der Entstehung des Rechts zu vermerken, wenn der Antragsteller diesen in der nach der Grundbuchordnung für die Eintragung vorgesehenen Form nachweist. Kann der Entstehungszeitpunkt nicht nachgewiesen werden, so ist der Vorrang vor anderen Rechten zu vermerken, wenn dieser von den Betroffenen bewilligt wird.</w:t>
      </w:r>
    </w:p>
    <w:p>
      <w:r>
        <w:t xml:space="preserve">(4) Durch Landesgesetz kann bestimmt werden, daß ein Mitbenutzungsrecht der in Absatz 1 bezeichneten Art mit dem Inhalt in das Grundbuch einzutragen ist, der dem seit dem 3. Oktober 1990 geltenden Recht entspricht oder am ehesten entspricht. Ist die Verpflichtung zur Eintragung durch rechtskräftige Entscheidung festgestellt, so kann das Recht auch in den Fällen des Satzes 1 mit seinem festgestellten Inhalt eingetragen werden.</w:t>
      </w:r>
    </w:p>
    <w:p>
      <w:r>
        <w:rPr>
          <w:color w:val="555555"/>
          <w:sz w:val="17"/>
        </w:rPr>
        <w:t xml:space="preserve">Zitiervorschlag: Art 233 § 5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