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233 § 2c BGBEG — Grundbucheintragung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Selbständiges Gebäudeeigentum nach § 2b ist auf Antrag (§ 13 Abs. 2 der Grundbuchordnung) im Grundbuch wie eine Belastung des betroffenen Grundstücks einzutragen. Ist für das Gebäudeeigentum ein Gebäudegrundbuchblatt nicht vorhanden, so wird es bei der Eintragung in das Grundbuch von Amts wegen angelegt.</w:t>
      </w:r>
    </w:p>
    <w:p>
      <w:r>
        <w:t xml:space="preserve">(2) Zur Sicherung etwaiger Ansprüche aus dem Sachenrechtsbereinigungsgesetz ist auf Antrag des Nutzers ein Vermerk in der Zweiten Abteilung des Grundbuchs für das betroffene Grundstück einzutragen, wenn ein Besitzrecht nach § 2a besteht. In den in § 121 Abs. 1 und 2 des Sachenrechtsbereinigungsgesetzes genannten Fällen kann die Eintragung des Vermerks auch gegenüber dem Verfügungsberechtigten mit Wirkung gegenüber dem Berechtigten erfolgen, solange das Rückübertragungsverfahren nach dem Vermögensgesetz nicht unanfechtbar abgeschlossen ist. Der Vermerk hat die Wirkung einer Vormerkung zur Sicherung dieser Ansprüche. § 885 des Bürgerlichen Gesetzbuchs ist entsprechend anzuwenden.</w:t>
      </w:r>
    </w:p>
    <w:p>
      <w:r>
        <w:t xml:space="preserve">(3) Der Erwerb selbständigen Gebäudeeigentums sowie dinglicher Rechte am Gebäude der in § 2b bezeichneten Art aufgrund der Vorschriften über den öffentlichen Glauben des Grundbuchs ist nur möglich, wenn das Gebäudeeigentum auch bei dem belasteten Grundstück eingetragen ist.</w:t>
      </w:r>
    </w:p>
    <w:p>
      <w:r>
        <w:rPr>
          <w:color w:val="555555"/>
          <w:sz w:val="17"/>
        </w:rPr>
        <w:t xml:space="preserve">Zitiervorschlag: Art 233 § 2c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https://recht.nulegal.eu/gesetze/BGBEG/233-2c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