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233 § 2a BGBEG — Moratorium</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Als zum Besitz eines in dem in Artikel 3 des Einigungsvertrages genannten Gebiet belegenen Grundstücks berechtigt gelten unbeschadet bestehender Nutzungsrechte und günstigerer Vereinbarungen und Regelungen:</w:t>
      </w:r>
    </w:p>
    <w:p>
      <w:pPr>
        <w:ind w:left="420"/>
      </w:pPr>
      <w:r>
        <w:t xml:space="preserve">a) wer das Grundstück bis zum Ablauf des 2. Oktober 1990 aufgrund einer bestandskräftigen Baugenehmigung oder sonst entsprechend den Rechtsvorschriften mit Billigung staatlicher oder gesellschaftlicher Organe mit Gebäuden oder Anlagen bebaut oder zu bebauen begonnen hat und bei Inkrafttreten dieser Vorschrift selbst nutzt,</w:t>
      </w:r>
    </w:p>
    <w:p>
      <w:pPr>
        <w:ind w:left="420"/>
      </w:pPr>
      <w:r>
        <w:t xml:space="preserve">b) Genossenschaften und ehemals volkseigene Betriebe der Wohnungswirtschaft, denen vor dem 3. Oktober 1990 aufgrund einer bestandskräftigen Baugenehmigung oder sonst entsprechend den Rechtsvorschriften mit Billigung staatlicher oder gesellschaftlicher Organe errichtete Gebäude und dazugehörige Grundstücksflächen und -teilflächen zur Nutzung sowie selbständigen Bewirtschaftung und Verwaltung übertragen worden waren und von diesen oder ihren Rechtsnachfolgern genutzt werden,</w:t>
      </w:r>
    </w:p>
    <w:p>
      <w:pPr>
        <w:ind w:left="420"/>
      </w:pPr>
      <w:r>
        <w:t xml:space="preserve">c) wer über ein bei Abschluß des Vertrages bereits mit einem Wohnhaus bebautes Grundstück, das bis dahin unter staatlicher oder treuhänderischer Verwaltung gestanden hat, einen Überlassungsvertrag geschlossen hat, sowie diejenigen, die mit diesem einen gemeinsamen Hausstand führen,</w:t>
      </w:r>
    </w:p>
    <w:p>
      <w:pPr>
        <w:ind w:left="420"/>
      </w:pPr>
      <w:r>
        <w:t xml:space="preserve">d) wer ein auf einem Grundstück errichtetes Gebäude gekauft oder den Kauf beantragt hat.</w:t>
      </w:r>
    </w:p>
    <w:p>
      <w:r>
        <w:t xml:space="preserve">Das Recht nach Satz 1 besteht bis zur Bereinigung der genannten Rechtsverhältnisse durch besonderes Gesetz längstens bis zum Ablauf des 31. Dezember 1994; die Frist kann durch Rechtsverordnung des Bundesministers der Justiz und für Verbraucherschutz einmal verlängert werden. In den in § 3 Abs. 3 und den §§ 4 und 121 des Sachenrechtsbereinigungsgesetzes bezeichneten Fällen besteht das in Satz 1 bezeichnete Recht zum Besitz bis zur Bereinigung dieser Rechtsverhältnisse nach jenem Gesetz fort. Für die Zeit vom 22. Juli 1992 bis 31. März 1995 kann der jeweilige Grundstückseigentümer vom jeweiligen Nutzer ein Entgelt in Höhe des nach § 51 Abs. 1 Satz 2 Nr. 1, §§ 43, 45 des Sachenrechtsbereinigungsgesetzes zu zahlenden Erbbauzinses verlangen, für die Zeit ab 1. Januar 1995 jedoch nur, wenn er kein Entgelt nach Satz 8 verlangen kann. Für die Zeit vom 1. Januar 1995 bis zum 31. März 1995 kann der Grundstückseigentümer das Entgelt nach Satz 4 nicht verlangen, wenn er sich in einem bis zum 31. März 1995 eingeleiteten notariellen Vermittlungsverfahren nach den §§ 87 bis 102 des Sachenrechtsbereinigungsgesetzes oder Bodenordnungsverfahren nach dem Achten Abschnitt des Landwirtschaftsanpassungsgesetzes nicht unverzüglich auf eine Verhandlung zur Begründung dinglicher Rechte oder eine Übereignung eingelassen hat. Für die Bestimmung des Entgeltes sind der Bodenwert und der Restwert eines überlassenen Gebäudes zum 22. Juli 1992 maßgebend. Der Anspruch nach Satz 4 verjährt in zwei Jahren vom 8. November 2000 an. Der Grundstückseigentümer kann vom 1. Januar 1995 an vom Nutzer ein Entgelt bis zur Höhe des nach dem Sachenrechtsbereinigungsgesetz zu zahlenden Erbbauzinses verlangen, wenn ein Verfahren zur Bodenneuordnung nach dem Bodensonderungsgesetz eingeleitet wird, er ein notarielles Vermittlungsverfahren nach den §§ 87 bis 102 des Sachenrechtsbereinigungsgesetzes oder ein Bodenordnungsverfahren nach dem Achten Abschnitt des Landwirtschaftsanpassungsgesetzes beantragt oder sich in den Verfahren auf eine Verhandlung zur Begründung dinglicher Rechte oder eine Übereignung eingelassen hat. Vertragliche oder gesetzliche Regelungen, die ein abweichendes Nutzungsentgelt oder einen früheren Beginn der Zahlungspflicht begründen, bleiben unberührt. Umfang und Inhalt des Rechts bestimmen sich im übrigen nach der bisherigen Ausübung. In den Fällen des § 20b Abs. 3 des Parteiengesetzes vom 21. Februar 1990 (GBl. I Nr. 9 S. 66), das zuletzt durch Artikel 1 des Gesetzes vom 19. Dezember 2006 (BGBl. I S. 3230) geändert worden ist, kann das Recht nach Satz 1 allein von der Bundesanstalt für vereinigungsbedingte Sonderaufgaben oder deren Rechtsnachfolger geltend gemacht werden.</w:t>
      </w:r>
    </w:p>
    <w:p>
      <w:r>
        <w:t xml:space="preserve">(2) Das Recht zum Besitz nach Absatz 1 wird durch eine Übertragung oder einen Übergang des Eigentums oder eine sonstige Verfügung über das Grundstück nicht berührt. Das Recht kann übertragen werden; die Übertragung ist gegenüber dem Grundstückseigentümer nur wirksam, wenn sie diesem vom Veräußerer angezeigt wird.</w:t>
      </w:r>
    </w:p>
    <w:p>
      <w:r>
        <w:t xml:space="preserve">(3) Während des in Absatz 8 Satz 1 genannten Zeitraums kann Ersatz für gezogene Nutzungen oder vorgenommene Verwendungen nur auf einvernehmlicher Grundlage verlangt werden. Der Eigentümer eines Grundstücks ist während der Dauer des Rechts zum Besitz nach Absatz 1 verpflichtet, das Grundstück nicht mit Rechten zu belasten, es sei denn, er ist zu deren Bestellung gesetzlich oder aufgrund der Entscheidung einer Behörde verpflichtet.</w:t>
      </w:r>
    </w:p>
    <w:p>
      <w:r>
        <w:t xml:space="preserve">(4) Bis zu dem in Absatz 1 Satz 2 genannten Zeitpunkt findet auf Überlassungsverträge unbeschadet des Artikels 232 § 1 der § 78 des Zivilgesetzbuchs der Deutschen Demokratischen Republik keine Anwendung.</w:t>
      </w:r>
    </w:p>
    <w:p>
      <w:r>
        <w:t xml:space="preserve">(5) Das Vermögensgesetz, § 20b Abs. 3 des Parteiengesetzes vom 21. Februar 1990 (GBl. I Nr. 9 S. 66), das zuletzt durch Artikel 1 des Gesetzes vom 19. Dezember 2006 (BGBl. I S. 3230) geändert worden ist, sowie Verfahren nach dem Achten Abschnitt des Landwirtschaftsanpassungsgesetzes bleiben unberührt.</w:t>
      </w:r>
    </w:p>
    <w:p>
      <w:r>
        <w:t xml:space="preserve">(6) Bestehende Rechte des gemäß Absatz 1 Berechtigten werden nicht berührt. In Ansehung der Nutzung des Grundstücks getroffene Vereinbarungen bleiben außer in den Fällen des Absatzes 1 Satz 1 Buchstabe c unberührt. Sie sind in allen Fällen auch weiterhin möglich. Das Recht nach Absatz 1 kann ohne Einhaltung einer Frist durch einseitige Erklärung des Grundeigentümers beendet werden, wenn</w:t>
      </w:r>
    </w:p>
    <w:p>
      <w:pPr>
        <w:ind w:left="420"/>
      </w:pPr>
      <w:r>
        <w:t xml:space="preserve">a) der Nutzer</w:t>
      </w:r>
    </w:p>
    <w:p>
      <w:pPr>
        <w:ind w:left="780"/>
      </w:pPr>
      <w:r>
        <w:t xml:space="preserve">aa) im Sinne der §§ 20a und 20b des Parteiengesetzes der Deutschen Demokratischen Republik eine Massenorganisation, eine Partei, eine ihr verbundene Organisation oder eine juristische Person ist und die treuhänderische Verwaltung über den betreffenden Vermögenswert beendet worden ist oder</w:t>
      </w:r>
    </w:p>
    <w:p>
      <w:pPr>
        <w:ind w:left="780"/>
      </w:pPr>
      <w:r>
        <w:t xml:space="preserve">bb) dem Bereich der Kommerziellen Koordinierung zuzuordnen ist oder</w:t>
      </w:r>
    </w:p>
    <w:p>
      <w:pPr>
        <w:ind w:left="420"/>
      </w:pPr>
      <w:r>
        <w:t xml:space="preserve">b) die Rechtsverhältnisse des Nutzers an dem fraglichen Grund und Boden Gegenstand eines gerichtlichen Strafverfahrens gegen den Nutzer sind oder</w:t>
      </w:r>
    </w:p>
    <w:p>
      <w:pPr>
        <w:ind w:left="420"/>
      </w:pPr>
      <w:r>
        <w:t xml:space="preserve">c) es sich um ein ehemals volkseigenes Grundstück handelt und seine Nutzung am 2. Oktober 1990 auf einer Rechtsträgerschaft beruhte, es sei denn, der Nutzer ist eine landwirtschaftliche Produktionsgenossenschaft, ein ehemals volkseigener Betrieb der Wohnungswirtschaft, eine Arbeiter-Wohnungsbaugenossenschaft oder eine gemeinnützige Wohnungsgenossenschaft oder deren jeweiliger Rechtsnachfolger.</w:t>
      </w:r>
    </w:p>
    <w:p>
      <w:r>
        <w:t xml:space="preserve">In den Fällen des Satzes 4 Buchstabe a und c ist § 1000 des Bürgerlichen Gesetzbuchs nicht anzuwenden. Das Recht zum Besitz nach dieser Vorschrift erlischt, wenn eine Vereinbarung nach den Sätzen 2 und 3 durch den Nutzer gekündigt wird.</w:t>
      </w:r>
    </w:p>
    <w:p>
      <w:r>
        <w:t xml:space="preserve">(7) Die vorstehenden Regelungen gelten nicht für Nutzungen zur Erholung, Freizeitgestaltung oder zu ähnlichen persönlichen Bedürfnissen einschließlich der Nutzung innerhalb von Kleingartenanlagen. Ein Miet- oder Pachtvertrag ist nicht als Überlassungsvertrag anzusehen.</w:t>
      </w:r>
    </w:p>
    <w:p>
      <w:r>
        <w:t xml:space="preserve">(8) Für die Zeit bis zum Ablauf des 21. Juli 1992 ist der nach Absatz 1 Berechtigte gegenüber dem Grundstückseigentümer sowie sonstigen dinglichen Berechtigten zur Herausgabe von Nutzungen nicht verpflichtet, es sei denn, daß die Beteiligten andere Abreden getroffen haben. Ist ein in Absatz 1 Satz 1 Buchstabe d bezeichneter Kaufvertrag unwirksam oder sind die Verhandlungen auf Abschluß des beantragten Kaufvertrages gescheitert, so ist der Nutzer von der Erlangung der Kenntnis der Unwirksamkeit des Vertrages oder der Ablehnung des Vertragsschlusses an nach § 987 des Bürgerlichen Gesetzbuchs zur Herausgabe von Nutzungen verpflichtet.</w:t>
      </w:r>
    </w:p>
    <w:p>
      <w:r>
        <w:t xml:space="preserve">(9) Für die Zeit vom 22. Juli 1992 bis zum 30. September 2001 kann der Grundstückseigentümer von der öffentlichen Körperschaft, die das Grundstück zur Erfüllung ihrer öffentlichen Aufgaben nutzt oder im Falle der Widmung zum Gemeingebrauch für das Gebäude oder die Anlage unterhaltungspflichtig ist, nur ein Entgelt in Höhe von jährlich 0,8 vom Hundert des Bodenwerts eines in gleicher Lage belegenen Grundstücks sowie die Freistellung von den Lasten des Grundstücks verlangen. Der Bodenwert ist nach den Bodenrichtwerten zu bestimmen; § 19 Abs. 5 des Sachenrechtsbereinigungsgesetzes gilt entsprechend. Für die Zeit vom 1. Januar 1995 entsteht der Anspruch nach Satz 1 von dem Zeitpunkt an, in dem der Grundstückseigentümer ihn gegenüber der Körperschaft schriftlich geltend macht; für die Zeit vom 22. Juli 1992 bis zum 31. Dezember 1994 kann er nur bis zum 31. März 2002 geltend gemacht werden. Abweichende vertragliche Vereinbarungen bleiben unberührt.</w:t>
      </w:r>
    </w:p>
    <w:p>
      <w:r>
        <w:rPr>
          <w:color w:val="555555"/>
          <w:sz w:val="17"/>
        </w:rPr>
        <w:t xml:space="preserve">Zitiervorschlag: Art 233 § 2a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