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233 § 15 BGBEG — Verbindlichkeiten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Auf den Eigentümer nach § 11 Abs. 2 gehen mit Inkrafttreten dieser Vorschriften Verbindlichkeiten über, soweit sie für Maßnahmen an dem Grundstück begründet worden sind. Sind solche Verbindlichkeiten von einem anderen als dem Eigentümer getilgt worden, so ist der Eigentümer diesem zum Ersatz verpflichtet, soweit die Mittel aus der Verbindlichkeit für das Grundstück verwendet worden sind. Der Berechtigte hat die in Satz 1 bezeichneten Verbindlichkeiten und Verpflichtungen zu übernehmen.</w:t>
      </w:r>
    </w:p>
    <w:p>
      <w:r>
        <w:t xml:space="preserve">(2) Der Eigentümer nach § 11 Abs. 2 ist zur Aufgabe des Eigentums nach Maßgabe des § 928 Abs. 1 des Bürgerlichen Gesetzbuchs berechtigt. Er kann die Erfüllung auf ihn gemäß Absatz 1 übergegangener Verbindlichkeiten von dem Wirksamwerden des Verzichts an bis zu ihrem Übergang nach Absatz 3 verweigern. Die Erklärung des Eigentümers bedarf der Zustimmung der Gemeinde, in der das Grundstück belegen ist, die sie nur zu erteilen hat, wenn ihr ein nach § 12 Berechtigter nicht bekannt ist.</w:t>
      </w:r>
    </w:p>
    <w:p>
      <w:r>
        <w:t xml:space="preserve">(3) Das Recht zur Aneignung steht im Fall des Absatzes 2 in dieser Reihenfolge dem nach § 12 Berechtigten, dem Fiskus des Landes, in dem das Grundstück liegt, und dem Gläubiger von Verbindlichkeiten nach Absatz 1 zu. Die Verbindlichkeiten gehen auf den nach § 12 Berechtigten oder den Fiskus des Landes, in dem das Grundstück liegt, über, wenn sie von ihren Aneignungsrechten Gebrauch machen. Der Gläubiger kann den nach § 12 Berechtigten und den Fiskus des Landes, in dem das Grundstück liegt, zum Verzicht auf ihr Aneignungsrecht auffordern. Der Verzicht gilt als erklärt, wenn innerhalb von drei Monaten ab Zugang eine Äußerung nicht erfolgt. Ist er wirksam, entfallen Ansprüche nach § 12. Ist der Verzicht erklärt oder gilt er als erklärt, so können andere Aneignungsberechtigte mit ihren Rechten im Wege des Aufgebotsverfahrens ausgeschlossen werden, wenn ein Jahr seit dem Verzicht verstrichen ist. Mit der Rechtskraft des Ausschließungsbeschlusses wird der beantragende Aneignungsberechtigte Eigentümer. Mehrere Gläubiger können ihre Rechte nur gemeinsam ausüben.</w:t>
      </w:r>
    </w:p>
    <w:p>
      <w:r>
        <w:rPr>
          <w:color w:val="555555"/>
          <w:sz w:val="17"/>
        </w:rPr>
        <w:t xml:space="preserve">Zitiervorschlag: Art 233 § 15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