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233 § 12 BGBEG — Berechtigter</w:t>
      </w:r>
    </w:p>
    <w:p>
      <w:r>
        <w:rPr>
          <w:color w:val="555555"/>
          <w:sz w:val="18"/>
        </w:rPr>
        <w:t xml:space="preserve">Einführungsgesetz zum Bürgerlichen Gesetzbuche</w:t>
      </w:r>
    </w:p>
    <w:p>
      <w:r>
        <w:rPr>
          <w:color w:val="555555"/>
          <w:sz w:val="18"/>
        </w:rPr>
        <w:t xml:space="preserve">Stand: 10.06.2019 (konsolidierte Textfassung, kein amtliches Inkrafttretensdatum)</w:t>
      </w:r>
    </w:p>
    <w:p>
      <w:r>
        <w:t xml:space="preserve">(1) Berechtigter ist in den Fällen des § 11 Abs. 2 Satz 1 Nr. 1 und Nr. 2 Fall 2 in nachfolgender Reihenfolge:</w:t>
      </w:r>
    </w:p>
    <w:p>
      <w:pPr>
        <w:ind w:left="420"/>
      </w:pPr>
      <w:r>
        <w:t xml:space="preserve">1. diejenige Person, der das Grundstück oder der Grundstücksteil nach den Vorschriften über die Bodenreform oder den Besitzwechsel bei Grundstücken aus der Bodenreform förmlich zugewiesen oder übergeben worden ist, auch wenn der Besitzwechsel nicht im Grundbuch eingetragen worden ist,</w:t>
      </w:r>
    </w:p>
    <w:p>
      <w:pPr>
        <w:ind w:left="420"/>
      </w:pPr>
      <w:r>
        <w:t xml:space="preserve">2. diejenige Person, die das Grundstück oder den Grundstücksteil auf Veranlassung einer staatlichen Stelle oder mit deren ausdrücklicher Billigung wie ein Eigentümer in Besitz genommen, den Besitzwechsel beantragt hat und zuteilungsfähig ist, sofern es sich um Häuser und die dazu gehörenden Gärten handelt.</w:t>
      </w:r>
    </w:p>
    <w:p>
      <w:r>
        <w:t xml:space="preserve">(2) Berechtigter ist in den Fällen des § 11 Abs. 2 Satz 1 Nr. 2 Fall 1 in nachfolgender Reihenfolge:</w:t>
      </w:r>
    </w:p>
    <w:p>
      <w:pPr>
        <w:ind w:left="420"/>
      </w:pPr>
      <w:r>
        <w:t xml:space="preserve">1. bei nicht im wesentlichen gewerblich genutzten, zum Ablauf des 15. März 1990 noch vorhandenen Häusern und den dazugehörenden Gärten</w:t>
      </w:r>
    </w:p>
    <w:p>
      <w:pPr>
        <w:ind w:left="780"/>
      </w:pPr>
      <w:r>
        <w:t xml:space="preserve">a) diejenige Person, der das Grundstück oder der Grundstücksteil, auf dem sie sich befinden, nach den Vorschriften über die Bodenreform oder den Besitzwechsel bei Grundstücken aus der Bodenreform förmlich zugewiesen oder übergeben worden ist, auch wenn der Besitzwechsel nicht im Grundbuch eingetragen worden ist,</w:t>
      </w:r>
    </w:p>
    <w:p>
      <w:pPr>
        <w:ind w:left="780"/>
      </w:pPr>
      <w:r>
        <w:t xml:space="preserve">b) diejenige Person, die das Grundstück oder den Grundstücksteil, auf dem sie sich befinden, auf Veranlassung einer staatlichen Stelle oder mit deren ausdrücklicher Billigung wie ein Eigentümer in Besitz genommen, den Besitzwechsel beantragt hat und zuteilungsfähig ist,</w:t>
      </w:r>
    </w:p>
    <w:p>
      <w:pPr>
        <w:ind w:left="780"/>
      </w:pPr>
      <w:r>
        <w:t xml:space="preserve">c) der Erbe des zuletzt im Grundbuch aufgrund einer Entscheidung nach den Vorschriften über die Bodenreform oder über die Durchführung des Besitzwechsels eingetragenen Eigentümers, der das Haus am Ende des 15. März 1990 bewohnte,</w:t>
      </w:r>
    </w:p>
    <w:p>
      <w:pPr>
        <w:ind w:left="780"/>
      </w:pPr>
      <w:r>
        <w:t xml:space="preserve">d) abweichend von den Vorschriften der Dritten Durchführungsverordnung zum Treuhandgesetz vom 29. August 1990 (GBl. I Nr. 57 S. 1333) der Fiskus des Landes, in dem das Hausgrundstück liegt, wenn dieses am 15. März 1990 weder zu Wohnzwecken noch zu gewerblichen Zwecken genutzt wurde.</w:t>
      </w:r>
    </w:p>
    <w:p>
      <w:pPr>
        <w:ind w:left="420"/>
      </w:pPr>
      <w:r>
        <w:t xml:space="preserve">2. bei für die Land- oder Forstwirtschaft genutzten Grundstücken (Schlägen)</w:t>
      </w:r>
    </w:p>
    <w:p>
      <w:pPr>
        <w:ind w:left="780"/>
      </w:pPr>
      <w:r>
        <w:t xml:space="preserve">a) diejenige Person, der das Grundstück oder der Grundstücksteil nach den Vorschriften über die Bodenreform oder den Besitzwechsel bei Grundstücken aus der Bodenreform förmlich zugewiesen oder übergeben worden ist, auch wenn der Besitzwechsel nicht im Grundbuch eingetragen worden ist,</w:t>
      </w:r>
    </w:p>
    <w:p>
      <w:pPr>
        <w:ind w:left="780"/>
      </w:pPr>
      <w:r>
        <w:t xml:space="preserve">b) der Erbe des zuletzt im Grundbuch aufgrund einer Entscheidung nach den Vorschriften über die Bodenreform oder über die Durchführung des Besitzwechsels eingetragenen Eigentümers, der zuteilungsfähig ist,</w:t>
      </w:r>
    </w:p>
    <w:p>
      <w:pPr>
        <w:ind w:left="780"/>
      </w:pPr>
      <w:r>
        <w:t xml:space="preserve">c) abweichend von den Vorschriften der Dritten Durchführungsverordnung zum Treuhandgesetz der Fiskus des Landes, in dem das Grundstück liegt.</w:t>
      </w:r>
    </w:p>
    <w:p>
      <w:r>
        <w:t xml:space="preserve">(3) Zuteilungsfähig im Sinne der Absätze 1 und 2 ist, wer bei Ablauf des 15. März 1990 in dem in Artikel 3 des Einigungsvertrages genannten Gebiet in der Land-, Forst- oder Nahrungsgüterwirtschaft tätig war oder wer vor Ablauf des 15. März 1990 in dem in Artikel 3 des Einigungsvertrages genannten Gebiet in der Land-, Forst- oder Nahrungsgüterwirtschaft insgesamt mindestens zehn Jahre lang tätig war und im Anschluß an diese Tätigkeit keiner anderen Erwerbstätigkeit nachgegangen ist und einer solchen voraussichtlich auf Dauer nicht nachgehen wird.</w:t>
      </w:r>
    </w:p>
    <w:p>
      <w:r>
        <w:t xml:space="preserve">(4) Erfüllen mehrere Personen die in den Absätzen 1 und 2 genannten Voraussetzungen, so sind sie zu gleichen Teilen berechtigt. Ist der nach Absatz 1 Nr. 1 oder Absatz 2 Nr. 1 Buchstaben a und b oder Nr. 2 Buchstabe a Berechtigte verheiratet und unterlag die Ehe vor dem Wirksamwerden des Beitritts dem gesetzlichen Güterstand der Eigentums- und Vermögensgemeinschaft des Familiengesetzbuchs der Deutschen Demokratischen Republik, so ist der Ehegatte zu einem gleichen Anteil berechtigt.</w:t>
      </w:r>
    </w:p>
    <w:p>
      <w:r>
        <w:t xml:space="preserve">(5) Wenn Ansprüche nach den Absätzen 1 und 2 nicht bestehen, ist der Eigentümer nach § 11 verpflichtet, einem Mitnutzer im Umfang seiner Mitnutzung Miteigentum einzuräumen. Mitnutzer ist, wem in einem Wohnzwecken dienenden Gebäude auf einem Grundstück aus der Bodenreform Wohnraum zur selbständigen, gleichberechtigten und nicht nur vorübergehenden Nutzung zugewiesen wurde. Für den Mitnutzer gilt Absatz 4 sinngemäß. Der Anspruch besteht nicht, wenn die Einräumung von Miteigentum für den Eigentümer eine insbesondere unter Berücksichtigung der räumlichen Verhältnisse und dem Umfang der bisherigen Nutzung unbillige Härte bedeuten würde.</w:t>
      </w:r>
    </w:p>
    <w:p>
      <w:r>
        <w:rPr>
          <w:color w:val="555555"/>
          <w:sz w:val="17"/>
        </w:rPr>
        <w:t xml:space="preserve">Zitiervorschlag: Art 233 § 12 BGBEG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https://recht.nulegal.eu/gesetze/BGBEG/233-12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233 § 12 BGBEG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