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229 § 9 BGBEG — Überleitungsvorschrift zum OLG-Vertretungsänderungsgesetz vom 23. Juli 2002</w:t>
      </w:r>
    </w:p>
    <w:p>
      <w:r>
        <w:rPr>
          <w:color w:val="555555"/>
          <w:sz w:val="18"/>
        </w:rPr>
        <w:t xml:space="preserve">Einführungsgesetz zum Bürgerlichen Gesetzbuche</w:t>
      </w:r>
    </w:p>
    <w:p>
      <w:r>
        <w:rPr>
          <w:color w:val="555555"/>
          <w:sz w:val="18"/>
        </w:rPr>
        <w:t xml:space="preserve">Stand: 10.06.2019 (konsolidierte Textfassung, kein amtliches Inkrafttretensdatum)</w:t>
      </w:r>
    </w:p>
    <w:p>
      <w:r>
        <w:t xml:space="preserve">(1) Die §§ 312a, 312d, 346, 355, 358, 491, 492, 494, 495, 497, 498, 502, 505 und 506 des Bürgerlichen Gesetzbuchs in der seit dem 1. August 2002 geltenden Fassung sind, soweit nichts anderes bestimmt ist, nur anzuwenden auf</w:t>
      </w:r>
    </w:p>
    <w:p>
      <w:pPr>
        <w:ind w:left="420"/>
      </w:pPr>
      <w:r>
        <w:t xml:space="preserve">1. Haustürgeschäfte, die nach dem 1. August 2002 abgeschlossen worden sind, einschließlich ihrer Rückabwicklung und</w:t>
      </w:r>
    </w:p>
    <w:p>
      <w:pPr>
        <w:ind w:left="420"/>
      </w:pPr>
      <w:r>
        <w:t xml:space="preserve">2. andere Schuldverhältnisse, die nach dem 1. November 2002 entstanden sind.</w:t>
      </w:r>
    </w:p>
    <w:p>
      <w:r>
        <w:t xml:space="preserve">§ 355 Abs. 3 des Bürgerlichen Gesetzbuchs in der in Satz 1 genannten Fassung ist jedoch auch auf Haustürgeschäfte anzuwenden, die nach dem 31. Dezember 2001 abgeschlossen worden sind, einschließlich ihrer Rückabwicklung.</w:t>
      </w:r>
    </w:p>
    <w:p>
      <w:r>
        <w:t xml:space="preserve">(2) § 355 Abs. 2 ist in der in Absatz 1 Satz 1 genannten Fassung auch auf Verträge anzuwenden, die vor diesem Zeitpunkt geschlossen worden sind, wenn die erforderliche Belehrung über das Widerrufs- oder Rückgaberecht erst nach diesem Zeitpunkt erteilt wird.</w:t>
      </w:r>
    </w:p>
    <w:p>
      <w:r>
        <w:rPr>
          <w:color w:val="555555"/>
          <w:sz w:val="17"/>
        </w:rPr>
        <w:t xml:space="preserve">Zitiervorschlag: Art 229 § 9 BGBEG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https://recht.nulegal.eu/gesetze/BGBEG/229-9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