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229 § 4 BGBEG — Übergangsvorschrift zum Zweiten Gesetz zur Änderung reiserechtlicher Vorschriften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651k und 651l des Bürgerlichen Gesetzbuchs sind in ihrer seit dem 1. September 2001 geltenden Fassung nur auf Verträge anzuwenden, die nach diesem Tag geschlossen werden.</w:t>
      </w:r>
    </w:p>
    <w:p>
      <w:r>
        <w:t xml:space="preserve">(2) Abweichend von § 651k Abs. 2 Satz 1 des Bürgerlichen Gesetzbuchs gelten für die nachfolgenden Zeiträume folgende Haftungshöchstsummen.</w:t>
      </w:r>
    </w:p>
    <w:p>
      <w:pPr>
        <w:ind w:left="420"/>
      </w:pPr>
      <w:r>
        <w:t xml:space="preserve">1. vom 1. November 1994 bis zum 31. Oktober 1995 70 Millionen Deutsche Mark,</w:t>
      </w:r>
    </w:p>
    <w:p>
      <w:pPr>
        <w:ind w:left="420"/>
      </w:pPr>
      <w:r>
        <w:t xml:space="preserve">2. vom 1. November 1995 bis zum 31. Oktober 1996 100 Millionen Deutsche Mark,</w:t>
      </w:r>
    </w:p>
    <w:p>
      <w:pPr>
        <w:ind w:left="420"/>
      </w:pPr>
      <w:r>
        <w:t xml:space="preserve">3. vom 1. November 1996 bis zum 31. Oktober 1997 150 Millionen Deutsche Mark,</w:t>
      </w:r>
    </w:p>
    <w:p>
      <w:pPr>
        <w:ind w:left="420"/>
      </w:pPr>
      <w:r>
        <w:t xml:space="preserve">4. vom 1. November 1997 bis zum 31. Oktober 2000 200 Millionen Deutsche Mark und</w:t>
      </w:r>
    </w:p>
    <w:p>
      <w:pPr>
        <w:ind w:left="420"/>
      </w:pPr>
      <w:r>
        <w:t xml:space="preserve">5. vom 1. November 2000 bis zum 1. September 2001 110 Millionen Euro.</w:t>
      </w:r>
    </w:p>
    <w:p>
      <w:r>
        <w:rPr>
          <w:color w:val="555555"/>
          <w:sz w:val="17"/>
        </w:rPr>
        <w:t xml:space="preserve">Zitiervorschlag: Art 229 § 4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