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229 § 22 BGBEG — Übergangsvorschrift zum Gesetz zur Umsetzung der Verbraucherkreditrichtlinie, des zivilrechtlichen Teils der Zahlungsdiensterichtlinie sowie zur Neuordnung der Vorschriften über das Widerrufs- und Rückgaberecht vom 29. Juli 2009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Schuldverhältnisse, die die Ausführung von Zahlungsvorgängen zum Gegenstand haben und die vor dem 31. Oktober 2009 entstanden sind, ist Artikel 248 §§ 4 und 13 nicht anzuwenden. Ist mit der Abwicklung eines Zahlungsvorgangs vor dem 31. Oktober 2009 begonnen worden, sind das Bürgerliche Gesetzbuch und die BGB-Informationspflichten-Verordnung jeweils in der bis dahin geltenden Fassung anzuwenden.</w:t>
      </w:r>
    </w:p>
    <w:p>
      <w:r>
        <w:t xml:space="preserve">(2) Soweit andere als die in Absatz 1 geregelten Schuldverhältnisse vor dem 11. Juni 2010 entstanden sind, sind auf sie das Bürgerliche Gesetzbuch und die BGB-Informationspflichten-Verordnung jeweils in der bis dahin geltenden Fassung anzuwenden.</w:t>
      </w:r>
    </w:p>
    <w:p>
      <w:r>
        <w:t xml:space="preserve">(3) Abweichend von Absatz 2 sind § 492 Abs. 5, § 493 Abs. 3, die §§ 499, 500 Abs. 1 sowie § 504 Abs. 1 und § 505 Abs. 2 des Bürgerlichen Gesetzbuchs auf unbefristete Schuldverhältnisse anzuwenden, die vor dem 11. Juni 2010 entstanden sind; § 505 Abs. 1 ist auf solche Schuldverhältnisse in Ansehung der Mitteilungen nach Vertragsschluss anzuwenden.</w:t>
      </w:r>
    </w:p>
    <w:p>
      <w:r>
        <w:rPr>
          <w:color w:val="555555"/>
          <w:sz w:val="17"/>
        </w:rPr>
        <w:t xml:space="preserve">Zitiervorschlag: Art 229 § 22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https://recht.nulegal.eu/gesetze/BGBEG/229-22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