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229 § 11 BGBEG — Überleitungsvorschrift zu dem Gesetz zur Änderung der Vorschriften über Fernabsatzverträge bei Finanzdienstleistungen vom 2. Dezember 2004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Schuldverhältnisse, die bis zum Ablauf des 7. Dezember 2004 entstanden sind, finden das Bürgerliche Gesetzbuch und die BGB-Informationspflichten-Verordnung in der bis zu diesem Tag geltenden Fassung Anwendung. Satz 1 gilt für Vertragsverhältnisse im Sinne des § 312b Abs. 4 Satz 1 des Bürgerlichen Gesetzbuchs mit der Maßgabe, dass es auf die Entstehung der erstmaligen Vereinbarung ankommt.</w:t>
      </w:r>
    </w:p>
    <w:p>
      <w:r>
        <w:t xml:space="preserve">(2) Verkaufsprospekte, die vor dem Ablauf des 7. Dezember 2004 hergestellt wurden und die der Neufassung der BGB-Informationspflichten-Verordnung nicht genügen, dürfen bis zum 31. März 2005 aufgebraucht werden, soweit sie ausschließlich den Fernabsatz von Waren und Dienstleistungen betreffen, die nicht Finanzdienstleistungen sind.</w:t>
      </w:r>
    </w:p>
    <w:p>
      <w:r>
        <w:rPr>
          <w:color w:val="555555"/>
          <w:sz w:val="17"/>
        </w:rPr>
        <w:t xml:space="preserve">Zitiervorschlag: Art 229 § 11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https://recht.nulegal.eu/gesetze/BGBEG/229-11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