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22 BGBEG — Annahme als Kind</w:t>
      </w:r>
    </w:p>
    <w:p>
      <w:r>
        <w:rPr>
          <w:color w:val="555555"/>
          <w:sz w:val="18"/>
        </w:rPr>
        <w:t xml:space="preserve">Einführungsgesetz zum Bürgerlichen Gesetzbuche</w:t>
      </w:r>
    </w:p>
    <w:p>
      <w:r>
        <w:rPr>
          <w:color w:val="555555"/>
          <w:sz w:val="18"/>
        </w:rPr>
        <w:t xml:space="preserve">Stand: 05.04.2020 (konsolidierte Textfassung, kein amtliches Inkrafttretensdatum)</w:t>
      </w:r>
    </w:p>
    <w:p>
      <w:r>
        <w:t xml:space="preserve">(1) Die Annahme als Kind im Inland unterliegt dem deutschen Recht. Im Übrigen unterliegt sie dem Recht des Staates, in dem der Anzunehmende zum Zeitpunkt der Annahme seinen gewöhnlichen Aufenthalt hat.</w:t>
      </w:r>
    </w:p>
    <w:p>
      <w:r>
        <w:t xml:space="preserve">(2) Die Folgen der Annahme in Bezug auf das Verwandtschaftsverhältnis zwischen dem Kind und dem Annehmenden sowie den Personen, zu denen das Kind in einem familienrechtlichen Verhältnis steht, unterliegen dem nach Absatz 1 anzuwendenden Recht.</w:t>
      </w:r>
    </w:p>
    <w:p>
      <w:r>
        <w:t xml:space="preserve">(3) In Ansehung der Rechtsnachfolge von Todes wegen nach dem Annehmenden, dessen Ehegatten, Lebenspartner oder Verwandten steht der Angenommene ungeachtet des nach den Absätzen 1 und 2 anzuwendenden Rechts einem nach den deutschen Sachvorschriften angenommenen Kind gleich, wenn der Erblasser dies in der Form einer Verfügung von Todes wegen angeordnet hat und die Rechtsnachfolge deutschem Recht unterliegt. Satz 1 gilt entsprechend, wenn die Annahme auf einer ausländischen Entscheidung beruht. Die Sätze 1 und 2 finden keine Anwendung, wenn der Angenommene im Zeitpunkt der Annahme das achtzehnte Lebensjahr vollendet hatte.</w:t>
      </w:r>
    </w:p>
    <w:p>
      <w:r>
        <w:rPr>
          <w:color w:val="555555"/>
          <w:sz w:val="17"/>
        </w:rPr>
        <w:t xml:space="preserve">Zitiervorschlag: Art 22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22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