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217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 dem Inkrafttreten des Bürgerlichen Gesetzbuchs erfolgte Errichtung eines Erbverzichtsvertrags sowie die Wirkungen eines solchen Vertrags bestimmen sich nach den bisherigen Gesetzen.</w:t>
      </w:r>
    </w:p>
    <w:p>
      <w:r>
        <w:t xml:space="preserve">(2) Das gleiche gilt von einem vor dem Inkrafttreten des Bürgerlichen Gesetzbuchs geschlossenen Vertrag, durch den ein Erbverzichtsvertrag aufgehoben worden ist.</w:t>
      </w:r>
    </w:p>
    <w:p>
      <w:r>
        <w:rPr>
          <w:color w:val="555555"/>
          <w:sz w:val="17"/>
        </w:rPr>
        <w:t xml:space="preserve">Zitiervorschlag: Art 217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