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214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vor dem Inkrafttreten des Bürgerlichen Gesetzbuchs erfolgte Errichtung oder Aufhebung einer Verfügung von Todes wegen wird nach den bisherigen Gesetzen beurteilt, auch wenn der Erblasser nach dem Inkrafttreten des Bürgerlichen Gesetzbuchs stirbt.</w:t>
      </w:r>
    </w:p>
    <w:p>
      <w:r>
        <w:t xml:space="preserve">(2) Das gleiche gilt für die Bindung des Erblassers bei einem Erbvertrag oder einem gemeinschaftlichen Testament, sofern der Erbvertrag oder das Testament vor dem Inkrafttreten des Bürgerlichen Gesetzbuchs errichtet worden ist.</w:t>
      </w:r>
    </w:p>
    <w:p>
      <w:r>
        <w:rPr>
          <w:color w:val="555555"/>
          <w:sz w:val="17"/>
        </w:rPr>
        <w:t xml:space="preserve">Zitiervorschlag: Art 214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214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