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208 BGBEG</w:t>
      </w:r>
    </w:p>
    <w:p>
      <w:r>
        <w:rPr>
          <w:color w:val="555555"/>
          <w:sz w:val="18"/>
        </w:rPr>
        <w:t xml:space="preserve">Einführungsgesetz zum Bürgerlichen Gesetzbuche</w:t>
      </w:r>
    </w:p>
    <w:p>
      <w:r>
        <w:rPr>
          <w:color w:val="555555"/>
          <w:sz w:val="18"/>
        </w:rPr>
        <w:t xml:space="preserve">Stand: 10.06.2019 (konsolidierte Textfassung, kein amtliches Inkrafttretensdatum)</w:t>
      </w:r>
    </w:p>
    <w:p>
      <w:r>
        <w:t xml:space="preserve">(1) Die rechtliche Stellung eines vor dem Inkrafttreten des Bürgerlichen Gesetzbuchs geborenen nichtehelichen Kindes bestimmt sich von dem Inkrafttreten des Bürgerlichen Gesetzbuchs an nach dessen Vorschriften; für die Erforschung der Vaterschaft, für das Recht des Kindes, den Familiennamen des Vaters zu führen, sowie für die Unterhaltspflicht des Vaters bleiben jedoch die bisherigen Gesetze maßgebend.</w:t>
      </w:r>
    </w:p>
    <w:p>
      <w:r>
        <w:t xml:space="preserve">(2) Inwieweit einem vor dem Inkrafttreten des Bürgerlichen Gesetzbuchs außerehelich erzeugten Kind aus einem besonderen Grund, insbesondere wegen Erzeugung im Brautstand, die rechtliche Stellung eines ehelichen Kindes zukommt und inwieweit der Vater und die Mutter eines solchen Kindes die Pflichten und Rechte ehelicher Eltern haben, bestimmt sich nach den bisherigen Gesetzen.</w:t>
      </w:r>
    </w:p>
    <w:p>
      <w:r>
        <w:t xml:space="preserve">(3) Die Vorschriften des Absatzes 1 gelten auch für ein nach den französischen oder den badischen Gesetzen anerkanntes Kind.</w:t>
      </w:r>
    </w:p>
    <w:p>
      <w:r>
        <w:rPr>
          <w:color w:val="555555"/>
          <w:sz w:val="17"/>
        </w:rPr>
        <w:t xml:space="preserve">Zitiervorschlag: Art 208 BGBEG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https://recht.nulegal.eu/gesetze/BGBEG/208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