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BGBEG — Abstammung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Abstammung eines Kindes unterliegt dem Recht des Staates, in dem das Kind seinen gewöhnlichen Aufenthalt hat. Sie kann im Verhältnis zu jedem Elternteil auch nach dem Recht des Staates bestimmt werden, dem dieser Elternteil angehört. Ist die Mutter verheiratet, so kann die Abstammung ferner nach dem Recht bestimmt werden, dem die allgemeinen Wirkungen ihrer Ehe bei der Geburt nach Artikel 14 Absatz 2 unterliegen; ist die Ehe vorher durch Tod aufgelöst worden, so ist der Zeitpunkt der Auflösung maßgebend.</w:t>
      </w:r>
    </w:p>
    <w:p>
      <w:r>
        <w:t xml:space="preserve">(2) Sind die Eltern nicht miteinander verheiratet, so unterliegen Verpflichtungen des Vaters gegenüber der Mutter auf Grund der Schwangerschaft dem Recht des Staates, in dem die Mutter ihren gewöhnlichen Aufenthalt hat.</w:t>
      </w:r>
    </w:p>
    <w:p>
      <w:r>
        <w:rPr>
          <w:color w:val="555555"/>
          <w:sz w:val="17"/>
        </w:rPr>
        <w:t xml:space="preserve">Zitiervorschlag: Art 19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