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178 BGBEG</w:t>
      </w:r>
    </w:p>
    <w:p>
      <w:r>
        <w:rPr>
          <w:color w:val="555555"/>
          <w:sz w:val="18"/>
        </w:rPr>
        <w:t xml:space="preserve">Einführungsgesetz zum Bürgerlichen Gesetzbuche</w:t>
      </w:r>
    </w:p>
    <w:p>
      <w:r>
        <w:rPr>
          <w:color w:val="555555"/>
          <w:sz w:val="18"/>
        </w:rPr>
        <w:t xml:space="preserve">Stand: 10.06.2019 (konsolidierte Textfassung, kein amtliches Inkrafttretensdatum)</w:t>
      </w:r>
    </w:p>
    <w:p>
      <w:r>
        <w:t xml:space="preserve">Ein zur Zeit des Inkrafttretens des Bürgerlichen Gesetzbuchs anhängiges Verfahren, das die Kraftloserklärung einer Schuldverschreibung auf den Inhaber oder einer Urkunde der in § 808 des Bürgerlichen Gesetzbuchs bezeichneten Art oder die Zahlungssperre für ein solches Papier zum Gegenstand hat, ist nach den bisherigen Gesetzen zu erledigen. Nach diesen Gesetzen bestimmen sich auch die Wirkungen des Verfahrens und der Entscheidung.</w:t>
      </w:r>
    </w:p>
    <w:p>
      <w:r>
        <w:rPr>
          <w:color w:val="555555"/>
          <w:sz w:val="17"/>
        </w:rPr>
        <w:t xml:space="preserve">Zitiervorschlag: Art 178 BGBEG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https://recht.nulegal.eu/gesetze/BGBEG/178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