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174 BGBEG</w:t>
      </w:r>
    </w:p>
    <w:p>
      <w:r>
        <w:rPr>
          <w:color w:val="555555"/>
          <w:sz w:val="18"/>
        </w:rPr>
        <w:t xml:space="preserve">Einführungsgesetz zum Bürgerlichen Gesetzbuche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Von dem Inkrafttreten des Bürgerlichen Gesetzbuchs an gelten für die vorher ausgestellten Schuldverschreibungen auf den Inhaber die Vorschriften der §§ 798 bis 800, 802 und 804 und des § 806 Satz 1 des Bürgerlichen Gesetzbuchs. Bei den auf Sicht zahlbaren unverzinslichen Schuldverschreibungen sowie bei Zins, Renten- und Gewinnanteilscheinen bleiben jedoch für die Kraftloserklärung und die Zahlungssperre die bisherigen Gesetze maßgebend.</w:t>
      </w:r>
    </w:p>
    <w:p>
      <w:r>
        <w:t xml:space="preserve">(2) Die Verjährung der Ansprüche aus den vor dem Inkrafttreten des Bürgerlichen Gesetzbuchs ausgestellten Schuldverschreibungen auf den Inhaber bestimmt sich, unbeschadet der Vorschriften des § 802 des Bürgerlichen Gesetzbuchs, nach den bisherigen Gesetzen.</w:t>
      </w:r>
    </w:p>
    <w:p>
      <w:r>
        <w:rPr>
          <w:color w:val="555555"/>
          <w:sz w:val="17"/>
        </w:rPr>
        <w:t xml:space="preserve">Zitiervorschlag: Art 174 BGBEG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https://recht.nulegal.eu/gesetze/BGBEG/174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