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170 BGBEG</w:t>
      </w:r>
    </w:p>
    <w:p>
      <w:r>
        <w:rPr>
          <w:color w:val="555555"/>
          <w:sz w:val="18"/>
        </w:rPr>
        <w:t xml:space="preserve">Einführungsgesetz zum Bürgerlichen Gesetzbuche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ein Schuldverhältnis, das vor dem Inkrafttreten des Bürgerlichen Gesetzbuchs entstanden ist, bleiben die bisherigen Gesetze maßgebend.</w:t>
      </w:r>
    </w:p>
    <w:p>
      <w:r>
        <w:rPr>
          <w:color w:val="555555"/>
          <w:sz w:val="17"/>
        </w:rPr>
        <w:t xml:space="preserve">Zitiervorschlag: Art 170 BGBEG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https://recht.nulegal.eu/gesetze/BGBEG/170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