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152 BGBEG</w:t>
      </w:r>
    </w:p>
    <w:p>
      <w:r>
        <w:rPr>
          <w:color w:val="555555"/>
          <w:sz w:val="18"/>
        </w:rPr>
        <w:t xml:space="preserve">Einführungsgesetz zum Bürgerlichen Gesetzbuche</w:t>
      </w:r>
    </w:p>
    <w:p>
      <w:r>
        <w:rPr>
          <w:color w:val="555555"/>
          <w:sz w:val="18"/>
        </w:rPr>
        <w:t xml:space="preserve">Stand: 10.06.2019 (konsolidierte Textfassung, kein amtliches Inkrafttretensdatum)</w:t>
      </w:r>
    </w:p>
    <w:p>
      <w:r>
        <w:t xml:space="preserve">Unberührt bleiben die landesgesetzlichen Vorschriften, welche für die nicht nach den Vorschriften der Zivilprozeßordnung zu erledigenden Rechtsstreitigkeiten die Vorgänge bestimmen, mit denen die nach den Vorschriften des Bürgerlichen Gesetzbuchs an die Klageerhebung und an die Rechtshängigkeit geknüpften Wirkungen eintreten. Soweit solche Vorschriften fehlen, finden die Vorschriften der Zivilprozeßordnung entsprechende Anwendung.</w:t>
      </w:r>
    </w:p>
    <w:p>
      <w:r>
        <w:rPr>
          <w:color w:val="555555"/>
          <w:sz w:val="17"/>
        </w:rPr>
        <w:t xml:space="preserve">Zitiervorschlag: Art 152 BGBEG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https://recht.nulegal.eu/gesetze/BGBEG/152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