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14 BGBEG — Allgemeine Ehewirkungen</w:t>
      </w:r>
    </w:p>
    <w:p>
      <w:r>
        <w:rPr>
          <w:color w:val="555555"/>
          <w:sz w:val="18"/>
        </w:rPr>
        <w:t xml:space="preserve">Einführungsgesetz zum Bürgerlichen Gesetzbuche</w:t>
      </w:r>
    </w:p>
    <w:p>
      <w:r>
        <w:rPr>
          <w:color w:val="555555"/>
          <w:sz w:val="18"/>
        </w:rPr>
        <w:t xml:space="preserve">Stand: 10.06.2019 (konsolidierte Textfassung, kein amtliches Inkrafttretensdatum)</w:t>
      </w:r>
    </w:p>
    <w:p>
      <w:r>
        <w:t xml:space="preserve">(1) Soweit allgemeine Ehewirkungen nicht in den Anwendungsbereich der Verordnung (EU) 2016/1103 fallen, unterliegen sie dem von den Ehegatten gewählten Recht. Wählbar sind</w:t>
      </w:r>
    </w:p>
    <w:p>
      <w:pPr>
        <w:ind w:left="420"/>
      </w:pPr>
      <w:r>
        <w:t xml:space="preserve">1. das Recht des Staates, in dem beide Ehegatten im Zeitpunkt der Rechtswahl ihren gewöhnlichen Aufenthalt haben,</w:t>
      </w:r>
    </w:p>
    <w:p>
      <w:pPr>
        <w:ind w:left="420"/>
      </w:pPr>
      <w:r>
        <w:t xml:space="preserve">2. das Recht des Staates, in dem beide Ehegatten ihren gewöhnlichen Aufenthalt während der Ehe zuletzt hatten, wenn einer von ihnen im Zeitpunkt der Rechtswahl dort noch seinen gewöhnlichen Aufenthalt hat, oder</w:t>
      </w:r>
    </w:p>
    <w:p>
      <w:pPr>
        <w:ind w:left="420"/>
      </w:pPr>
      <w:r>
        <w:t xml:space="preserve">3. ungeachtet des Artikels 5 Absatz 1 das Recht des Staates, dem ein Ehegatte im Zeitpunkt der Rechtswahl angehört.</w:t>
      </w:r>
    </w:p>
    <w:p>
      <w:r>
        <w:t xml:space="preserve">Die Rechtswahl muss notariell beurkundet werden. Wird sie nicht im Inland vorgenommen, so genügt es, wenn sie den Formerfordernissen für einen Ehevertrag nach dem gewählten Recht oder am Ort der Rechtswahl entspricht.</w:t>
      </w:r>
    </w:p>
    <w:p>
      <w:r>
        <w:t xml:space="preserve">(2) Sofern die Ehegatten keine Rechtswahl getroffen haben, gilt</w:t>
      </w:r>
    </w:p>
    <w:p>
      <w:pPr>
        <w:ind w:left="420"/>
      </w:pPr>
      <w:r>
        <w:t xml:space="preserve">1. das Recht des Staates, in dem beide Ehegatten ihren gewöhnlichen Aufenthalt haben, sonst</w:t>
      </w:r>
    </w:p>
    <w:p>
      <w:pPr>
        <w:ind w:left="420"/>
      </w:pPr>
      <w:r>
        <w:t xml:space="preserve">2. das Recht des Staates, in dem beide Ehegatten ihren gewöhnlichen Aufenthalt während der Ehe zuletzt hatten, wenn einer von ihnen dort noch seinen gewöhnlichen Aufenthalt hat, sonst</w:t>
      </w:r>
    </w:p>
    <w:p>
      <w:pPr>
        <w:ind w:left="420"/>
      </w:pPr>
      <w:r>
        <w:t xml:space="preserve">3. das Recht des Staates, dem beide Ehegatten angehören, sonst</w:t>
      </w:r>
    </w:p>
    <w:p>
      <w:pPr>
        <w:ind w:left="420"/>
      </w:pPr>
      <w:r>
        <w:t xml:space="preserve">4. das Recht des Staates, mit dem die Ehegatten auf andere Weise gemeinsam am engsten verbunden sind.</w:t>
      </w:r>
    </w:p>
    <w:p>
      <w:r>
        <w:rPr>
          <w:color w:val="555555"/>
          <w:sz w:val="17"/>
        </w:rPr>
        <w:t xml:space="preserve">Zitiervorschlag: Art 14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