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116 BGBEG</w:t>
      </w:r>
    </w:p>
    <w:p>
      <w:r>
        <w:rPr>
          <w:color w:val="555555"/>
          <w:sz w:val="18"/>
        </w:rPr>
        <w:t xml:space="preserve">Einführungsgesetz zum Bürgerlichen Gesetzbuche</w:t>
      </w:r>
    </w:p>
    <w:p>
      <w:r>
        <w:rPr>
          <w:color w:val="555555"/>
          <w:sz w:val="18"/>
        </w:rPr>
        <w:t xml:space="preserve">Stand: 10.06.2019 (konsolidierte Textfassung, kein amtliches Inkrafttretensdatum)</w:t>
      </w:r>
    </w:p>
    <w:p>
      <w:r>
        <w:t xml:space="preserve">Die in den Artikeln 113 bis 115 bezeichneten landesgesetzlichen Vorschriften finden keine Anwendung auf die nach den §§ 912, 916 und 917 des Bürgerlichen Gesetzbuchs zu entrichtenden Geldrenten und auf die in den §§ 1021 und 1022 des Bürgerlichen Gesetzbuchs bestimmten Unterhaltungspflichten.</w:t>
      </w:r>
    </w:p>
    <w:p>
      <w:r>
        <w:rPr>
          <w:color w:val="555555"/>
          <w:sz w:val="17"/>
        </w:rPr>
        <w:t xml:space="preserve">Zitiervorschlag: Art 116 BGBEG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https://recht.nulegal.eu/gesetze/BGBEG/116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