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Unberührt bleiben die landesgesetzlichen Vorschriften über die Kraftloserklärung und die Zahlungssperre in Ansehung der im § 807 des Bürgerlichen Gesetzbuchs bezeichneten Urkunden.</w:t>
      </w:r>
    </w:p>
    <w:p>
      <w:r>
        <w:t xml:space="preserve">(2) Unberührt bleiben die landesgesetzlichen Vorschriften, welche für die Kraftloserklärung der im § 808 des Bürgerlichen Gesetzbuchs bezeichneten Urkunden ein anderes Verfahren als das Aufgebotsverfahren bestimmen.</w:t>
      </w:r>
    </w:p>
    <w:p>
      <w:r>
        <w:rPr>
          <w:color w:val="555555"/>
          <w:sz w:val="17"/>
        </w:rPr>
        <w:t xml:space="preserve">Zitiervorschlag: Art 102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