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BGBABest 1898</w:t>
      </w:r>
    </w:p>
    <w:p>
      <w:r>
        <w:rPr>
          <w:color w:val="555555"/>
          <w:sz w:val="18"/>
        </w:rPr>
        <w:t xml:space="preserve">Bekanntmachung betreffend Ausführungsbestimmungen zu den §§ 980, 981, 983 des Bürgerlichen Gesetzbuchs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982, 983 des Bürgerlichen Gesetzbuchs hat der Bundesrat folgende</w:t>
      </w:r>
    </w:p>
    <w:p>
      <w:pPr>
        <w:ind w:left="420"/>
      </w:pPr>
      <w:r>
        <w:t xml:space="preserve">Vorschriften über die in Fundsachen usw. von Reichsbehörden und Reichsanstalten zu erlassenden Bekanntmachungen</w:t>
      </w:r>
    </w:p>
    <w:p>
      <w:r>
        <w:t xml:space="preserve">beschlossen:</w:t>
      </w:r>
    </w:p>
    <w:p>
      <w:r>
        <w:rPr>
          <w:color w:val="555555"/>
          <w:sz w:val="17"/>
        </w:rPr>
        <w:t xml:space="preserve">Zitiervorschlag: Eingangsformel BGBABest 1898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https://recht.nulegal.eu/gesetze/BGBABest%201898/eingangsformel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