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BGBABest 1898</w:t>
      </w:r>
    </w:p>
    <w:p>
      <w:r>
        <w:rPr>
          <w:color w:val="555555"/>
          <w:sz w:val="18"/>
        </w:rPr>
        <w:t xml:space="preserve">Bekanntmachung betreffend Ausführungsbestimmungen zu den §§ 980, 981, 983 des Bürgerlichen Gesetzbuchs</w:t>
      </w:r>
    </w:p>
    <w:p>
      <w:r>
        <w:rPr>
          <w:color w:val="555555"/>
          <w:sz w:val="18"/>
        </w:rPr>
        <w:t xml:space="preserve">Stand: 10.06.2019 (konsolidierte Textfassung, kein amtliches Inkrafttretensdatum)</w:t>
      </w:r>
    </w:p>
    <w:p>
      <w:r>
        <w:t xml:space="preserve">(1) Die nach den §§ 980, 981, 983 des Bürgerlichen Gesetzbuchs von Reichsbehörden und Reichsanstalten zu erlassenden Bekanntmachungen erfolgen durch Aushang an der Amtsstelle oder, wenn für Bekanntmachungen der bezeichneten Art eine andere Stelle bestimmt ist, durch Aushang an dieser Stelle. Zwischen dem Tage, an welchem der Aushang bewirkt, und dem Tage, an welchem das ausgehängte Schriftstück wieder abgenommen wird, soll ein Zeitraum von mindestens sechs Wochen liegen; auf die Gültigkeit der Bekanntmachung hat es keinen Einfluß, wenn das Schriftstück von dem Orte des Aushangs zu früh entfernt wird.</w:t>
      </w:r>
    </w:p>
    <w:p>
      <w:r>
        <w:t xml:space="preserve">(2) Die Behörde oder die Anstalt kann weitere Bekanntmachungen, insbesondere durch Einrückung in öffentliche Blätter, veranlassen.</w:t>
      </w:r>
    </w:p>
    <w:p>
      <w:r>
        <w:rPr>
          <w:color w:val="555555"/>
          <w:sz w:val="17"/>
        </w:rPr>
        <w:t xml:space="preserve">Zitiervorschlag: § 1 BGBABest 1898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https://recht.nulegal.eu/gesetze/BGBABest%201898/1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