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989 BGB — Schadensersatz nach Rechtshängigkeit</w:t>
      </w:r>
    </w:p>
    <w:p>
      <w:r>
        <w:rPr>
          <w:color w:val="555555"/>
          <w:sz w:val="18"/>
        </w:rPr>
        <w:t xml:space="preserve">Bürgerliches Gesetzbuch</w:t>
      </w:r>
    </w:p>
    <w:p>
      <w:r>
        <w:rPr>
          <w:color w:val="555555"/>
          <w:sz w:val="18"/>
        </w:rPr>
        <w:t xml:space="preserve">Stand: 10.06.2019 (konsolidierte Textfassung, kein amtliches Inkrafttretensdatum)</w:t>
      </w:r>
    </w:p>
    <w:p>
      <w:r>
        <w:t xml:space="preserve">Der Besitzer ist von dem Eintritt der Rechtshängigkeit an dem Eigentümer für den Schaden verantwortlich, der dadurch entsteht, dass infolge seines Verschuldens die Sache verschlechtert wird, untergeht oder aus einem anderen Grunde von ihm nicht herausgegeben werden kann.</w:t>
      </w:r>
    </w:p>
    <w:p>
      <w:r>
        <w:rPr>
          <w:color w:val="555555"/>
          <w:sz w:val="17"/>
        </w:rPr>
        <w:t xml:space="preserve">Zitiervorschlag: § 989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https://recht.nulegal.eu/gesetze/BGB/989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