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980 BGB — Öffentliche Bekanntmachung des Fundes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Versteigerung ist erst zulässig, nachdem die Empfangsberechtigten in einer öffentlichen Bekanntmachung des Fundes zur Anmeldung ihrer Rechte unter Bestimmung einer Frist aufgefordert worden sind und die Frist verstrichen ist; sie ist unzulässig, wenn eine Anmeldung rechtzeitig erfolgt ist.</w:t>
      </w:r>
    </w:p>
    <w:p>
      <w:r>
        <w:t xml:space="preserve">(2) Die Bekanntmachung ist nicht erforderlich, wenn der Verderb der Sache zu besorgen oder die Aufbewahrung mit unverhältnismäßigen Kosten verbunden ist.</w:t>
      </w:r>
    </w:p>
    <w:p>
      <w:r>
        <w:rPr>
          <w:color w:val="555555"/>
          <w:sz w:val="17"/>
        </w:rPr>
        <w:t xml:space="preserve">Zitiervorschlag: § 980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https://recht.nulegal.eu/gesetze/BGB/980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